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宋体" w:hAnsi="宋体"/>
          <w:b/>
          <w:color w:val="auto"/>
          <w:kern w:val="0"/>
          <w:sz w:val="44"/>
          <w:szCs w:val="44"/>
        </w:rPr>
      </w:pPr>
      <w:bookmarkStart w:id="0" w:name="_GoBack"/>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方正小标宋_GBK" w:hAnsi="宋体" w:eastAsia="方正小标宋_GBK"/>
          <w:color w:val="auto"/>
          <w:kern w:val="0"/>
          <w:sz w:val="44"/>
          <w:szCs w:val="44"/>
        </w:rPr>
      </w:pPr>
      <w:r>
        <w:rPr>
          <w:rFonts w:hint="eastAsia" w:ascii="方正小标宋_GBK" w:hAnsi="宋体" w:eastAsia="方正小标宋_GBK"/>
          <w:color w:val="auto"/>
          <w:kern w:val="0"/>
          <w:sz w:val="44"/>
          <w:szCs w:val="44"/>
        </w:rPr>
        <w:t>托克逊县医疗保障事业发展中心2024年单位预算公开</w:t>
      </w: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before="100" w:beforeAutospacing="1" w:after="100" w:afterAutospacing="1"/>
        <w:jc w:val="center"/>
        <w:outlineLvl w:val="1"/>
        <w:rPr>
          <w:rFonts w:ascii="宋体" w:hAnsi="宋体"/>
          <w:b/>
          <w:color w:val="auto"/>
          <w:kern w:val="0"/>
          <w:sz w:val="44"/>
          <w:szCs w:val="44"/>
        </w:rPr>
      </w:pPr>
    </w:p>
    <w:p>
      <w:pPr>
        <w:widowControl/>
        <w:spacing w:line="500" w:lineRule="exact"/>
        <w:jc w:val="center"/>
        <w:outlineLvl w:val="1"/>
        <w:rPr>
          <w:rFonts w:ascii="黑体" w:hAnsi="黑体" w:eastAsia="黑体" w:cs="黑体"/>
          <w:color w:val="auto"/>
          <w:kern w:val="0"/>
          <w:sz w:val="32"/>
          <w:szCs w:val="32"/>
        </w:rPr>
      </w:pPr>
      <w:r>
        <w:rPr>
          <w:rFonts w:hint="eastAsia" w:ascii="黑体" w:hAnsi="黑体" w:eastAsia="黑体" w:cs="黑体"/>
          <w:color w:val="auto"/>
          <w:kern w:val="0"/>
          <w:sz w:val="32"/>
          <w:szCs w:val="32"/>
        </w:rPr>
        <w:t>目录</w:t>
      </w:r>
    </w:p>
    <w:p>
      <w:pPr>
        <w:widowControl/>
        <w:spacing w:line="600" w:lineRule="exact"/>
        <w:ind w:firstLine="883" w:firstLineChars="200"/>
        <w:outlineLvl w:val="1"/>
        <w:rPr>
          <w:rFonts w:ascii="宋体" w:hAnsi="宋体"/>
          <w:b/>
          <w:color w:val="auto"/>
          <w:kern w:val="0"/>
          <w:sz w:val="44"/>
          <w:szCs w:val="44"/>
        </w:rPr>
      </w:pP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第一部分2024年单位概况</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一、主要职能</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二、机构设置及人员情况</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第二部分2024年单位预算公开表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一、单位收支总体情况表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二、单位收入总体情况表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三、单位支出总体情况表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四、财政拨款收支预算总体情况表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五、一般公共预算支出情况表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六、一般公共预算基本支出情况表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w:t>
      </w:r>
      <w:r>
        <w:rPr>
          <w:rFonts w:hint="eastAsia" w:ascii="仿宋_GB2312" w:hAnsi="宋体" w:eastAsia="仿宋_GB2312"/>
          <w:bCs/>
          <w:color w:val="auto"/>
          <w:kern w:val="0"/>
          <w:sz w:val="32"/>
          <w:szCs w:val="32"/>
        </w:rPr>
        <w:t>一般公共预算项目支出情况表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八、政府性基金预算支出情况表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九、国有资本经营预算支出情况表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十、财政拨款“三公”经费支出情况表</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十一、上年结转结余情况明细表</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第三部分2024年单位预算情况说明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一、关于托克逊县医疗保障事业发展中心单位2024年收支预算情况的总体说明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二、关于托克逊县医疗保障事业发展中心单位2024年收入预算情况说明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三、关于托克逊县医疗保障事业发展中心单位2024年支出预算情况说明</w:t>
      </w:r>
    </w:p>
    <w:p>
      <w:pPr>
        <w:widowControl/>
        <w:spacing w:line="600" w:lineRule="exact"/>
        <w:ind w:firstLine="640" w:firstLineChars="200"/>
        <w:outlineLvl w:val="1"/>
        <w:rPr>
          <w:rFonts w:ascii="仿宋_GB2312" w:hAnsi="宋体" w:eastAsia="仿宋_GB2312"/>
          <w:bCs/>
          <w:color w:val="auto"/>
          <w:kern w:val="0"/>
          <w:sz w:val="32"/>
          <w:szCs w:val="32"/>
        </w:rPr>
      </w:pPr>
      <w:r>
        <w:rPr>
          <w:rFonts w:hint="eastAsia" w:ascii="仿宋_GB2312" w:hAnsi="宋体" w:eastAsia="仿宋_GB2312"/>
          <w:bCs/>
          <w:color w:val="auto"/>
          <w:kern w:val="0"/>
          <w:sz w:val="32"/>
          <w:szCs w:val="32"/>
        </w:rPr>
        <w:t>四、关于托克逊县医疗保障事业发展中心单位2024年财政拨款收支预算情况的总体说明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五、关于托克逊县医疗保障事业发展中心单位2024年一般公共预算当年拨款情况说明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六、关于托克逊县医疗保障事业发展中心单位2024年一般公共预算基本支出情况说明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七、关于托克逊县医疗保障事业发展中心单位2024年一般公共预算项目支出情况说明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八、关于托克逊县医疗保障事业发展中心单位2024年政府性基金预算拨款情况说明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九、关于托克逊县医疗保障事业发展中心单位2024年国有资本经营预算拨款情况说明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十、关于托克逊县医疗保障事业发展中心单位2024年财政拨款“三公”经费预算情况说明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十一、关于托克逊县医疗保障事业发展中心单位2024年上年结转结余预算情况说明</w:t>
      </w:r>
    </w:p>
    <w:p>
      <w:pPr>
        <w:widowControl/>
        <w:spacing w:line="600" w:lineRule="exact"/>
        <w:ind w:firstLine="640" w:firstLineChars="200"/>
        <w:outlineLvl w:val="1"/>
        <w:rPr>
          <w:rFonts w:ascii="仿宋_GB2312" w:hAnsi="宋体" w:eastAsia="仿宋_GB2312"/>
          <w:color w:val="auto"/>
          <w:kern w:val="0"/>
          <w:sz w:val="32"/>
          <w:szCs w:val="32"/>
        </w:rPr>
      </w:pPr>
      <w:r>
        <w:rPr>
          <w:rFonts w:hint="eastAsia" w:ascii="仿宋_GB2312" w:hAnsi="宋体" w:eastAsia="仿宋_GB2312"/>
          <w:color w:val="auto"/>
          <w:kern w:val="0"/>
          <w:sz w:val="32"/>
          <w:szCs w:val="32"/>
        </w:rPr>
        <w:t>十二、其他重要事项的情况说明</w:t>
      </w:r>
    </w:p>
    <w:p>
      <w:pPr>
        <w:widowControl/>
        <w:spacing w:line="600" w:lineRule="exact"/>
        <w:ind w:firstLine="643" w:firstLineChars="200"/>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第四部分名词解释</w:t>
      </w:r>
    </w:p>
    <w:p>
      <w:pPr>
        <w:widowControl/>
        <w:jc w:val="center"/>
        <w:outlineLvl w:val="1"/>
        <w:rPr>
          <w:rFonts w:ascii="黑体" w:hAnsi="黑体" w:eastAsia="黑体"/>
          <w:color w:val="auto"/>
          <w:kern w:val="0"/>
          <w:sz w:val="32"/>
          <w:szCs w:val="32"/>
        </w:rPr>
      </w:pPr>
      <w:r>
        <w:rPr>
          <w:rFonts w:ascii="微软雅黑" w:hAnsi="Calibri" w:eastAsia="微软雅黑"/>
          <w:b/>
          <w:bCs/>
          <w:color w:val="auto"/>
          <w:kern w:val="44"/>
          <w:sz w:val="28"/>
          <w:szCs w:val="28"/>
        </w:rPr>
        <w:br w:type="page"/>
      </w:r>
      <w:r>
        <w:rPr>
          <w:rFonts w:hint="eastAsia" w:ascii="黑体" w:hAnsi="黑体" w:eastAsia="黑体"/>
          <w:color w:val="auto"/>
          <w:kern w:val="0"/>
          <w:sz w:val="32"/>
          <w:szCs w:val="32"/>
        </w:rPr>
        <w:t>第一部分2024年单位概况</w:t>
      </w:r>
    </w:p>
    <w:p>
      <w:pPr>
        <w:widowControl/>
        <w:jc w:val="center"/>
        <w:outlineLvl w:val="1"/>
        <w:rPr>
          <w:rFonts w:ascii="宋体" w:hAnsi="宋体"/>
          <w:b/>
          <w:color w:val="auto"/>
          <w:kern w:val="0"/>
          <w:sz w:val="32"/>
          <w:szCs w:val="32"/>
        </w:rPr>
      </w:pPr>
    </w:p>
    <w:p>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color w:val="auto"/>
          <w:kern w:val="0"/>
          <w:sz w:val="32"/>
          <w:szCs w:val="32"/>
        </w:rPr>
        <w:t>　</w:t>
      </w:r>
      <w:r>
        <w:rPr>
          <w:rFonts w:hint="eastAsia" w:ascii="楷体_GB2312" w:hAnsi="楷体_GB2312" w:eastAsia="楷体_GB2312" w:cs="楷体_GB2312"/>
          <w:b/>
          <w:bCs/>
          <w:color w:val="auto"/>
          <w:kern w:val="0"/>
          <w:sz w:val="32"/>
          <w:szCs w:val="32"/>
        </w:rPr>
        <w:t>一、主要职能</w:t>
      </w:r>
    </w:p>
    <w:p>
      <w:pPr>
        <w:widowControl/>
        <w:spacing w:line="540" w:lineRule="exact"/>
        <w:ind w:firstLine="640" w:firstLineChars="200"/>
        <w:jc w:val="left"/>
        <w:rPr>
          <w:rFonts w:ascii="仿宋_GB2312" w:hAnsi="宋体" w:eastAsia="仿宋_GB2312" w:cs="宋体"/>
          <w:bCs/>
          <w:color w:val="auto"/>
          <w:kern w:val="0"/>
          <w:sz w:val="32"/>
          <w:szCs w:val="32"/>
        </w:rPr>
      </w:pPr>
      <w:r>
        <w:rPr>
          <w:rFonts w:hint="eastAsia" w:ascii="仿宋_GB2312" w:hAnsi="黑体" w:eastAsia="仿宋_GB2312" w:cs="宋体"/>
          <w:bCs/>
          <w:color w:val="auto"/>
          <w:kern w:val="0"/>
          <w:sz w:val="32"/>
          <w:szCs w:val="32"/>
        </w:rPr>
        <w:t>（一）贯彻落实国家、自治区、市、县医疗保险、生育保险、长期护理保险、医疗救助等有关法律法规和政策规定。负责参保人员医疗保障待遇及医疗保障定点服务机构医疗费用的审核和结算工作。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（二）按照全市统一的业务流程和操作规范，组织实施好全县医疗保险、生育保险、长期护理保险、医疗救助等业务经办，推进医疗保障经办标准化体系建设。</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（三）负责医疗保障基金稽核工作，开展医疗保障经办机构内控和风险防控。</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四）负责全县机关事业、企业单位职工、城乡居民、灵活就业人员、退休人员及特殊群体等医疗保险、生育保险、长期护理保险、医疗救助的经办服务工作。承担医疗保障基金、医疗救助资金使用情况的统计分析工作。</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（五）协助主管部门开展定点医药机构协议管理，对定点医药机构医疗服务的医保基金实施监管。</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（六）负责医疗保障信息化建设，承担医疗保障业务应用系统建设、维护工作，推进医疗保障信息化事业发展。</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（七）指导各乡镇、各参保单位开展医疗保障业务。</w:t>
      </w:r>
      <w:r>
        <w:rPr>
          <w:rFonts w:hint="eastAsia" w:ascii="仿宋_GB2312" w:hAnsi="黑体" w:eastAsia="仿宋_GB2312" w:cs="宋体"/>
          <w:bCs/>
          <w:color w:val="auto"/>
          <w:kern w:val="0"/>
          <w:sz w:val="32"/>
          <w:szCs w:val="32"/>
        </w:rPr>
        <w:br w:type="textWrapping"/>
      </w:r>
      <w:r>
        <w:rPr>
          <w:rFonts w:hint="eastAsia" w:ascii="仿宋_GB2312" w:hAnsi="黑体" w:eastAsia="仿宋_GB2312" w:cs="宋体"/>
          <w:bCs/>
          <w:color w:val="auto"/>
          <w:kern w:val="0"/>
          <w:sz w:val="32"/>
          <w:szCs w:val="32"/>
        </w:rPr>
        <w:t>　　（八）完成主管部门交办的其他工作任务。</w:t>
      </w:r>
    </w:p>
    <w:p>
      <w:pPr>
        <w:widowControl/>
        <w:spacing w:line="560" w:lineRule="exact"/>
        <w:jc w:val="left"/>
        <w:rPr>
          <w:rFonts w:ascii="黑体" w:hAnsi="黑体" w:eastAsia="黑体" w:cs="宋体"/>
          <w:bCs/>
          <w:color w:val="auto"/>
          <w:kern w:val="0"/>
          <w:sz w:val="32"/>
          <w:szCs w:val="32"/>
        </w:rPr>
      </w:pPr>
      <w:r>
        <w:rPr>
          <w:rFonts w:hint="eastAsia" w:ascii="楷体_GB2312" w:hAnsi="楷体_GB2312" w:eastAsia="楷体_GB2312" w:cs="楷体_GB2312"/>
          <w:b/>
          <w:color w:val="auto"/>
          <w:kern w:val="0"/>
          <w:sz w:val="32"/>
          <w:szCs w:val="32"/>
        </w:rPr>
        <w:t>　</w:t>
      </w:r>
      <w:r>
        <w:rPr>
          <w:rFonts w:hint="eastAsia" w:ascii="楷体_GB2312" w:hAnsi="楷体_GB2312" w:eastAsia="楷体_GB2312" w:cs="楷体_GB2312"/>
          <w:b/>
          <w:bCs/>
          <w:color w:val="auto"/>
          <w:kern w:val="0"/>
          <w:sz w:val="32"/>
          <w:szCs w:val="32"/>
        </w:rPr>
        <w:t>二、机构设置及人员情况</w:t>
      </w:r>
    </w:p>
    <w:p>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黑体" w:eastAsia="仿宋_GB2312" w:cs="宋体"/>
          <w:bCs/>
          <w:color w:val="auto"/>
          <w:kern w:val="0"/>
          <w:sz w:val="32"/>
          <w:szCs w:val="32"/>
        </w:rPr>
        <w:t>托克逊县医疗保障事业发展中心单位无下属预算单位，下设6个处室，分别是：办公室、业务受理科、待遇结算科、基金财务科、稽核审计科、信息化管理科</w:t>
      </w:r>
      <w:r>
        <w:rPr>
          <w:rFonts w:hint="eastAsia" w:ascii="仿宋_GB2312" w:hAnsi="宋体" w:eastAsia="仿宋_GB2312" w:cs="宋体"/>
          <w:color w:val="auto"/>
          <w:kern w:val="0"/>
          <w:sz w:val="32"/>
          <w:szCs w:val="32"/>
        </w:rPr>
        <w:t>。</w:t>
      </w:r>
    </w:p>
    <w:p>
      <w:pPr>
        <w:widowControl/>
        <w:spacing w:line="560" w:lineRule="exact"/>
        <w:ind w:firstLine="64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托克逊县医疗保障事业发展中心单位编制数15，实有人数13人，其中：在职13人，减少1人；退休0人，增加0人；离休0人，增加0人。</w:t>
      </w:r>
    </w:p>
    <w:p>
      <w:pPr>
        <w:widowControl/>
        <w:spacing w:before="156" w:beforeLines="50"/>
        <w:jc w:val="center"/>
        <w:outlineLvl w:val="1"/>
        <w:rPr>
          <w:rFonts w:ascii="黑体" w:hAnsi="黑体" w:eastAsia="黑体"/>
          <w:color w:val="auto"/>
          <w:kern w:val="0"/>
          <w:sz w:val="32"/>
          <w:szCs w:val="32"/>
        </w:rPr>
      </w:pPr>
      <w:r>
        <w:rPr>
          <w:rFonts w:hint="eastAsia" w:ascii="黑体" w:hAnsi="黑体" w:eastAsia="黑体"/>
          <w:b/>
          <w:bCs/>
          <w:color w:val="auto"/>
          <w:kern w:val="44"/>
          <w:sz w:val="28"/>
          <w:szCs w:val="28"/>
        </w:rPr>
        <w:br w:type="page"/>
      </w:r>
      <w:r>
        <w:rPr>
          <w:rFonts w:hint="eastAsia" w:ascii="黑体" w:hAnsi="黑体" w:eastAsia="黑体"/>
          <w:color w:val="auto"/>
          <w:kern w:val="0"/>
          <w:sz w:val="32"/>
          <w:szCs w:val="32"/>
        </w:rPr>
        <w:t>第二部分2024年单位预算公开表</w:t>
      </w:r>
    </w:p>
    <w:p>
      <w:pPr>
        <w:widowControl/>
        <w:spacing w:before="156" w:beforeLines="50"/>
        <w:outlineLvl w:val="1"/>
        <w:rPr>
          <w:rFonts w:ascii="宋体" w:hAnsi="宋体" w:cs="宋体"/>
          <w:color w:val="auto"/>
          <w:kern w:val="0"/>
          <w:sz w:val="20"/>
          <w:szCs w:val="20"/>
        </w:rPr>
      </w:pPr>
      <w:r>
        <w:rPr>
          <w:rFonts w:hint="eastAsia" w:ascii="宋体" w:hAnsi="宋体" w:cs="宋体"/>
          <w:color w:val="auto"/>
          <w:kern w:val="0"/>
          <w:sz w:val="20"/>
          <w:szCs w:val="20"/>
        </w:rPr>
        <w:t>表1</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编制单位：托克逊县医疗保障事业发展中心</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收入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388"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230.08</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230.08</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230.08</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21.85</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190.76</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17.47</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360" w:firstLineChars="2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color w:val="auto"/>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388" w:type="dxa"/>
            <w:tcBorders>
              <w:top w:val="nil"/>
              <w:left w:val="nil"/>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230.08</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300" w:lineRule="exact"/>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230.08</w:t>
            </w:r>
          </w:p>
        </w:tc>
      </w:tr>
    </w:tbl>
    <w:p>
      <w:pPr>
        <w:widowControl/>
        <w:jc w:val="left"/>
        <w:outlineLvl w:val="1"/>
        <w:rPr>
          <w:rFonts w:ascii="微软雅黑" w:hAnsi="微软雅黑" w:eastAsia="微软雅黑"/>
          <w:b/>
          <w:color w:val="auto"/>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ascii="宋体" w:hAnsi="宋体" w:cs="宋体"/>
          <w:color w:val="auto"/>
          <w:kern w:val="0"/>
          <w:sz w:val="20"/>
          <w:szCs w:val="20"/>
        </w:rPr>
      </w:pPr>
      <w:r>
        <w:rPr>
          <w:rFonts w:hint="eastAsia" w:ascii="宋体" w:hAnsi="宋体" w:cs="宋体"/>
          <w:color w:val="auto"/>
          <w:kern w:val="0"/>
          <w:sz w:val="20"/>
          <w:szCs w:val="20"/>
        </w:rPr>
        <w:t>表2</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pPr>
              <w:widowControl/>
              <w:jc w:val="lef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编制单位：托克逊县医疗保障事业发展中心</w:t>
            </w:r>
          </w:p>
        </w:tc>
        <w:tc>
          <w:tcPr>
            <w:tcW w:w="3889"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总计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hAnsi="宋体" w:eastAsia="仿宋_GB2312" w:cs="宋体"/>
                <w:b/>
                <w:color w:val="auto"/>
                <w:sz w:val="24"/>
              </w:rPr>
              <w:t>财政拨款(补助)</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jc w:val="center"/>
              <w:rPr>
                <w:rFonts w:ascii="仿宋_GB2312" w:hAnsi="宋体" w:eastAsia="仿宋_GB2312" w:cs="宋体"/>
                <w:b/>
                <w:color w:val="auto"/>
                <w:sz w:val="20"/>
                <w:szCs w:val="20"/>
              </w:rPr>
            </w:pPr>
            <w:r>
              <w:rPr>
                <w:rFonts w:hint="eastAsia" w:ascii="仿宋_GB2312" w:eastAsia="仿宋_GB2312"/>
                <w:b/>
                <w:color w:val="auto"/>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pPr>
              <w:jc w:val="center"/>
              <w:rPr>
                <w:rFonts w:ascii="仿宋_GB2312" w:eastAsia="仿宋_GB2312"/>
                <w:b/>
                <w:color w:val="auto"/>
                <w:sz w:val="20"/>
                <w:szCs w:val="20"/>
              </w:rPr>
            </w:pPr>
            <w:r>
              <w:rPr>
                <w:rFonts w:hint="eastAsia" w:ascii="仿宋_GB2312" w:eastAsia="仿宋_GB2312"/>
                <w:b/>
                <w:color w:val="auto"/>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类</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jc w:val="right"/>
              <w:rPr>
                <w:rFonts w:ascii="仿宋_GB2312" w:hAnsi="宋体" w:eastAsia="仿宋_GB2312" w:cs="宋体"/>
                <w:b/>
                <w:color w:val="auto"/>
                <w:sz w:val="20"/>
                <w:szCs w:val="20"/>
              </w:rPr>
            </w:pPr>
            <w:r>
              <w:rPr>
                <w:rFonts w:hint="eastAsia" w:ascii="仿宋_GB2312" w:eastAsia="仿宋_GB2312"/>
                <w:b/>
                <w:color w:val="auto"/>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r>
              <w:rPr>
                <w:rFonts w:hint="eastAsia" w:ascii="仿宋_GB2312" w:hAnsi="宋体" w:eastAsia="仿宋_GB2312" w:cs="宋体"/>
                <w:b/>
                <w:bCs/>
                <w:color w:val="auto"/>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4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c>
          <w:tcPr>
            <w:tcW w:w="820" w:type="dxa"/>
            <w:vMerge w:val="continue"/>
            <w:tcBorders>
              <w:left w:val="single" w:color="auto" w:sz="4" w:space="0"/>
              <w:bottom w:val="single" w:color="000000" w:sz="4" w:space="0"/>
              <w:right w:val="single" w:color="auto" w:sz="4" w:space="0"/>
            </w:tcBorders>
            <w:vAlign w:val="center"/>
          </w:tcPr>
          <w:p>
            <w:pPr>
              <w:rPr>
                <w:rFonts w:ascii="仿宋_GB2312" w:hAnsi="宋体" w:eastAsia="仿宋_GB2312" w:cs="宋体"/>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21.85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21.85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21.85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21.85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21.85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21.85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208</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05</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21.85</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21.85</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21.85</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190.76</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190.76</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190.76</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9.47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9.47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9.47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9.28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9.28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9.28</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03</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公务员医疗补助</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0.19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0.19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0.19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15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医疗保障管理事务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181.29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181.29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181.29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210</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15</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50</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事业运行</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181.29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181.29</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181.29</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17.47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17.47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17.47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17.47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17.47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17.47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221</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01</w:t>
            </w: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r>
              <w:rPr>
                <w:rFonts w:hint="eastAsia" w:ascii="仿宋_GB2312" w:eastAsia="仿宋_GB2312"/>
                <w:color w:val="auto"/>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17.47</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17.47</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r>
              <w:rPr>
                <w:rFonts w:hint="eastAsia" w:ascii="仿宋_GB2312" w:eastAsia="仿宋_GB2312"/>
                <w:color w:val="auto"/>
                <w:sz w:val="18"/>
                <w:szCs w:val="18"/>
              </w:rPr>
              <w:t>17.47</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417"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2056"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r>
              <w:rPr>
                <w:rFonts w:hint="eastAsia" w:ascii="仿宋_GB2312" w:eastAsia="仿宋_GB2312"/>
                <w:b/>
                <w:color w:val="auto"/>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230.08</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230.08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r>
              <w:rPr>
                <w:rFonts w:hint="eastAsia" w:ascii="仿宋_GB2312" w:eastAsia="仿宋_GB2312"/>
                <w:b/>
                <w:color w:val="auto"/>
                <w:sz w:val="18"/>
                <w:szCs w:val="18"/>
              </w:rPr>
              <w:t>230.08</w:t>
            </w: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7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5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auto"/>
                <w:sz w:val="18"/>
                <w:szCs w:val="18"/>
              </w:rPr>
            </w:pPr>
          </w:p>
        </w:tc>
        <w:tc>
          <w:tcPr>
            <w:tcW w:w="84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20" w:type="dxa"/>
            <w:tcBorders>
              <w:top w:val="nil"/>
              <w:left w:val="nil"/>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r>
    </w:tbl>
    <w:p>
      <w:pPr>
        <w:widowControl/>
        <w:jc w:val="left"/>
        <w:outlineLvl w:val="1"/>
        <w:rPr>
          <w:rFonts w:ascii="仿宋_GB2312" w:hAnsi="宋体" w:eastAsia="仿宋_GB2312"/>
          <w:b/>
          <w:color w:val="auto"/>
          <w:kern w:val="0"/>
          <w:sz w:val="32"/>
          <w:szCs w:val="32"/>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表3</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399"/>
        <w:gridCol w:w="400"/>
        <w:gridCol w:w="2418"/>
        <w:gridCol w:w="1762"/>
        <w:gridCol w:w="1763"/>
        <w:gridCol w:w="178"/>
        <w:gridCol w:w="1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pPr>
              <w:widowControl/>
              <w:jc w:val="left"/>
              <w:outlineLvl w:val="1"/>
              <w:rPr>
                <w:rFonts w:ascii="仿宋_GB2312" w:hAnsi="宋体" w:eastAsia="仿宋_GB2312"/>
                <w:b/>
                <w:color w:val="auto"/>
                <w:kern w:val="0"/>
                <w:sz w:val="32"/>
                <w:szCs w:val="32"/>
              </w:rPr>
            </w:pPr>
            <w:r>
              <w:rPr>
                <w:rFonts w:hint="eastAsia" w:ascii="仿宋_GB2312" w:eastAsia="仿宋_GB2312"/>
                <w:color w:val="auto"/>
                <w:sz w:val="24"/>
              </w:rPr>
              <w:t>编制单位：托克逊县医疗保障事业发展中心</w:t>
            </w:r>
          </w:p>
        </w:tc>
        <w:tc>
          <w:tcPr>
            <w:tcW w:w="1300"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eastAsia="仿宋_GB2312"/>
                <w:color w:val="auto"/>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eastAsia="仿宋_GB2312"/>
                <w:b/>
                <w:bCs/>
                <w:color w:val="auto"/>
                <w:kern w:val="0"/>
                <w:sz w:val="24"/>
              </w:rPr>
            </w:pPr>
            <w:r>
              <w:rPr>
                <w:rFonts w:hint="eastAsia" w:ascii="仿宋_GB2312" w:eastAsia="仿宋_GB2312"/>
                <w:b/>
                <w:bCs/>
                <w:color w:val="auto"/>
                <w:kern w:val="0"/>
                <w:sz w:val="24"/>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eastAsia="仿宋_GB2312"/>
                <w:b/>
                <w:bCs/>
                <w:color w:val="auto"/>
                <w:kern w:val="0"/>
                <w:sz w:val="20"/>
                <w:szCs w:val="20"/>
              </w:rPr>
            </w:pPr>
            <w:r>
              <w:rPr>
                <w:rFonts w:hint="eastAsia" w:ascii="仿宋_GB2312" w:eastAsia="仿宋_GB2312"/>
                <w:b/>
                <w:bCs/>
                <w:color w:val="auto"/>
                <w:kern w:val="0"/>
                <w:sz w:val="20"/>
                <w:szCs w:val="20"/>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b/>
                <w:bCs/>
                <w:color w:val="auto"/>
                <w:kern w:val="0"/>
                <w:sz w:val="16"/>
                <w:szCs w:val="16"/>
              </w:rPr>
            </w:pPr>
            <w:r>
              <w:rPr>
                <w:rFonts w:hint="eastAsia" w:ascii="仿宋_GB2312" w:eastAsia="仿宋_GB2312"/>
                <w:b/>
                <w:bCs/>
                <w:color w:val="auto"/>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仿宋_GB2312" w:eastAsia="仿宋_GB2312"/>
                <w:b/>
                <w:bCs/>
                <w:color w:val="auto"/>
                <w:kern w:val="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21.85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21.85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21.85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21.85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208</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05</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21.85</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21.85</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190.76</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170.76</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9.47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9.47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9.28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9.28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03</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公务员医疗补助</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0.19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0.19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15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医疗保障管理事务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181.29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161.29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210</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15</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50</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事业运行</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181.29</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161.29</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20.00</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17.47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17.47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b/>
                <w:color w:val="auto"/>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17.47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17.47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221</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02</w:t>
            </w: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color w:val="auto"/>
                <w:sz w:val="18"/>
                <w:szCs w:val="18"/>
              </w:rPr>
              <w:t>01</w:t>
            </w:r>
          </w:p>
        </w:tc>
        <w:tc>
          <w:tcPr>
            <w:tcW w:w="2604"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18"/>
                <w:szCs w:val="18"/>
              </w:rPr>
            </w:pPr>
            <w:r>
              <w:rPr>
                <w:rFonts w:hint="eastAsia" w:ascii="仿宋_GB2312" w:eastAsia="仿宋_GB2312"/>
                <w:color w:val="auto"/>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17.47</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color w:val="auto"/>
                <w:sz w:val="18"/>
                <w:szCs w:val="18"/>
              </w:rPr>
              <w:t>17.47</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18"/>
                <w:szCs w:val="18"/>
              </w:rPr>
            </w:pPr>
            <w:r>
              <w:rPr>
                <w:rFonts w:hint="eastAsia" w:ascii="仿宋_GB2312" w:eastAsia="仿宋_GB2312"/>
                <w:b/>
                <w:color w:val="auto"/>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230.08</w:t>
            </w:r>
          </w:p>
        </w:tc>
        <w:tc>
          <w:tcPr>
            <w:tcW w:w="1856"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210.08</w:t>
            </w:r>
          </w:p>
        </w:tc>
        <w:tc>
          <w:tcPr>
            <w:tcW w:w="1904"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bCs/>
                <w:color w:val="auto"/>
                <w:kern w:val="0"/>
                <w:sz w:val="18"/>
                <w:szCs w:val="18"/>
              </w:rPr>
            </w:pPr>
            <w:r>
              <w:rPr>
                <w:rFonts w:hint="eastAsia" w:ascii="仿宋_GB2312" w:eastAsia="仿宋_GB2312"/>
                <w:b/>
                <w:color w:val="auto"/>
                <w:sz w:val="18"/>
                <w:szCs w:val="18"/>
              </w:rPr>
              <w:t>20.00</w:t>
            </w:r>
          </w:p>
        </w:tc>
      </w:tr>
    </w:tbl>
    <w:p>
      <w:pPr>
        <w:widowControl/>
        <w:spacing w:before="120" w:beforeLines="50"/>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表4</w:t>
      </w:r>
    </w:p>
    <w:p>
      <w:pPr>
        <w:widowControl/>
        <w:spacing w:before="120" w:beforeLines="50"/>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442"/>
        <w:gridCol w:w="319"/>
        <w:gridCol w:w="800"/>
        <w:gridCol w:w="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编制单位：托克逊县医疗保障事业发展中心</w:t>
            </w:r>
          </w:p>
        </w:tc>
        <w:tc>
          <w:tcPr>
            <w:tcW w:w="1808" w:type="dxa"/>
            <w:gridSpan w:val="3"/>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项目</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功能分类</w:t>
            </w:r>
          </w:p>
        </w:tc>
        <w:tc>
          <w:tcPr>
            <w:tcW w:w="93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0"/>
                <w:szCs w:val="20"/>
              </w:rPr>
            </w:pPr>
            <w:r>
              <w:rPr>
                <w:rFonts w:hint="eastAsia" w:ascii="仿宋_GB2312" w:hAnsi="宋体" w:eastAsia="仿宋_GB2312" w:cs="宋体"/>
                <w:b/>
                <w:color w:val="auto"/>
                <w:kern w:val="0"/>
                <w:sz w:val="20"/>
                <w:szCs w:val="20"/>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230.08</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201一般公共服务支出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230.08</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202外交支出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203国防支出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pPr>
              <w:widowControl/>
              <w:spacing w:line="300" w:lineRule="exact"/>
              <w:ind w:firstLine="180" w:firstLineChars="100"/>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204公共安全支出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205教育支出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206科学技术支出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207文化旅游体育与传媒支出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208社会保障和就业支出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21.85</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21.85</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209社会保险基金支出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190.76</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190.76</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211节能环保支出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212城乡社区支出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213农林水支出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214交通运输支出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215资源勘探工业信息等支出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216商业服务业等支出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217金融支出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219援助其他地区支出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220自然资源海洋气象等支出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221住房保障支出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17.47</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17.47</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222粮油物资储备支出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223国有资本经营预算支出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224灾害防治及应急管理支出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227预备费</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229其他支出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230转移性支出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231债务还本支出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232债务付息支出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233债务发行费用支出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234抗疫特别国债安排的支出</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收入总计</w:t>
            </w:r>
          </w:p>
        </w:tc>
        <w:tc>
          <w:tcPr>
            <w:tcW w:w="10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230.08</w:t>
            </w:r>
          </w:p>
        </w:tc>
        <w:tc>
          <w:tcPr>
            <w:tcW w:w="280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支出总计</w:t>
            </w:r>
          </w:p>
        </w:tc>
        <w:tc>
          <w:tcPr>
            <w:tcW w:w="93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230.08</w:t>
            </w:r>
          </w:p>
        </w:tc>
        <w:tc>
          <w:tcPr>
            <w:tcW w:w="920" w:type="dxa"/>
            <w:gridSpan w:val="2"/>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230.08</w:t>
            </w:r>
          </w:p>
        </w:tc>
        <w:tc>
          <w:tcPr>
            <w:tcW w:w="800" w:type="dxa"/>
            <w:tcBorders>
              <w:top w:val="nil"/>
              <w:left w:val="single" w:color="auto" w:sz="4" w:space="0"/>
              <w:bottom w:val="single" w:color="auto" w:sz="4" w:space="0"/>
              <w:right w:val="single" w:color="auto" w:sz="4" w:space="0"/>
            </w:tcBorders>
            <w:shd w:val="clear" w:color="auto" w:fill="auto"/>
            <w:vAlign w:val="center"/>
          </w:tcPr>
          <w:p>
            <w:pPr>
              <w:jc w:val="left"/>
              <w:rPr>
                <w:rFonts w:ascii="仿宋_GB2312" w:hAnsi="宋体" w:eastAsia="仿宋_GB2312" w:cs="宋体"/>
                <w:b/>
                <w:color w:val="auto"/>
                <w:sz w:val="18"/>
                <w:szCs w:val="18"/>
              </w:rPr>
            </w:pPr>
          </w:p>
        </w:tc>
        <w:tc>
          <w:tcPr>
            <w:tcW w:w="80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表5</w:t>
      </w:r>
    </w:p>
    <w:p>
      <w:pPr>
        <w:widowControl/>
        <w:jc w:val="center"/>
        <w:rPr>
          <w:rFonts w:ascii="仿宋_GB2312" w:hAnsi="宋体" w:eastAsia="仿宋_GB2312" w:cs="宋体"/>
          <w:b/>
          <w:bCs/>
          <w:color w:val="auto"/>
          <w:kern w:val="0"/>
          <w:sz w:val="32"/>
          <w:szCs w:val="32"/>
        </w:rPr>
      </w:pPr>
      <w:r>
        <w:rPr>
          <w:rFonts w:hint="eastAsia" w:ascii="仿宋_GB2312" w:hAnsi="宋体" w:eastAsia="仿宋_GB2312" w:cs="宋体"/>
          <w:b/>
          <w:bCs/>
          <w:color w:val="auto"/>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编制单位：托克逊县医疗保障事业发展中心</w:t>
            </w:r>
          </w:p>
        </w:tc>
        <w:tc>
          <w:tcPr>
            <w:tcW w:w="1307"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一般公共预算支出</w:t>
            </w:r>
          </w:p>
        </w:tc>
      </w:tr>
      <w:tr>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21.85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21.85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21.85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21.85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21.85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21.85</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190.76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170.76</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9.47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9.47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9.28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9.28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03</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公务员医疗补助</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医疗保障管理事务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181.29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161.29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15</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50</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事业运行</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181.29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161.29</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20.00</w:t>
            </w: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17.47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17.47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17.47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17.47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17.47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hint="eastAsia" w:ascii="仿宋_GB2312" w:hAnsi="宋体" w:eastAsia="仿宋_GB2312" w:cs="宋体"/>
                <w:color w:val="auto"/>
                <w:kern w:val="0"/>
                <w:sz w:val="18"/>
                <w:szCs w:val="18"/>
              </w:rPr>
              <w:t>17.47</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230.08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210.08</w:t>
            </w:r>
          </w:p>
        </w:tc>
        <w:tc>
          <w:tcPr>
            <w:tcW w:w="1742"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20.00</w:t>
            </w:r>
          </w:p>
        </w:tc>
      </w:tr>
    </w:tbl>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表6</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cs="宋体"/>
          <w:b/>
          <w:bCs/>
          <w:color w:val="auto"/>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编制单位：托克逊县医疗保障事业发展中心</w:t>
            </w:r>
          </w:p>
        </w:tc>
        <w:tc>
          <w:tcPr>
            <w:tcW w:w="130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仿宋_GB2312" w:hAnsi="宋体" w:eastAsia="仿宋_GB2312" w:cs="宋体"/>
                <w:b/>
                <w:bCs/>
                <w:color w:val="auto"/>
                <w:kern w:val="0"/>
                <w:sz w:val="24"/>
              </w:rPr>
            </w:pPr>
            <w:r>
              <w:rPr>
                <w:rFonts w:ascii="仿宋_GB2312" w:hAnsi="宋体" w:eastAsia="仿宋_GB2312" w:cs="宋体"/>
                <w:b/>
                <w:bCs/>
                <w:color w:val="auto"/>
                <w:kern w:val="0"/>
                <w:sz w:val="24"/>
              </w:rPr>
              <w:t>一般公共预算基本支出</w:t>
            </w:r>
          </w:p>
        </w:tc>
      </w:tr>
      <w:tr>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Cs w:val="20"/>
              </w:rPr>
            </w:pPr>
            <w:r>
              <w:rPr>
                <w:rFonts w:hint="eastAsia" w:ascii="仿宋_GB2312" w:hAnsi="宋体" w:eastAsia="仿宋_GB2312" w:cs="宋体"/>
                <w:b/>
                <w:bCs/>
                <w:color w:val="auto"/>
                <w:kern w:val="0"/>
                <w:szCs w:val="20"/>
              </w:rPr>
              <w:t>公用经费</w:t>
            </w:r>
          </w:p>
        </w:tc>
      </w:tr>
      <w:tr>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szCs w:val="20"/>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196.21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196.21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53.82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53.82</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27.40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27.40</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37.65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37.65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27.64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27.64</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21.85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21.85</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9.28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9.28</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公务员医疗补助缴费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0.19</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0.19</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0.91</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0.91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17.47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17.47</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13.87</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13.87</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6.36</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6.36</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1.50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1.50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0.50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0.50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1.25</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1.25</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0.40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16</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培训费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0.40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2.64</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2.64</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其他交通费用</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0.40</w:t>
            </w:r>
          </w:p>
        </w:tc>
      </w:tr>
      <w:tr>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0.42</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color w:val="auto"/>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color w:val="auto"/>
                <w:kern w:val="0"/>
                <w:sz w:val="18"/>
                <w:szCs w:val="18"/>
              </w:rPr>
            </w:pPr>
            <w:r>
              <w:rPr>
                <w:rFonts w:ascii="仿宋_GB2312" w:hAnsi="宋体" w:eastAsia="仿宋_GB2312" w:cs="宋体"/>
                <w:color w:val="auto"/>
                <w:kern w:val="0"/>
                <w:sz w:val="18"/>
                <w:szCs w:val="18"/>
              </w:rPr>
              <w:t>0.42</w:t>
            </w:r>
          </w:p>
        </w:tc>
      </w:tr>
      <w:tr>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210.08</w:t>
            </w:r>
          </w:p>
        </w:tc>
        <w:tc>
          <w:tcPr>
            <w:tcW w:w="1701" w:type="dxa"/>
            <w:tcBorders>
              <w:top w:val="nil"/>
              <w:left w:val="nil"/>
              <w:bottom w:val="single" w:color="auto" w:sz="4" w:space="0"/>
              <w:right w:val="single" w:color="auto" w:sz="4" w:space="0"/>
            </w:tcBorders>
            <w:shd w:val="clear" w:color="auto" w:fill="auto"/>
            <w:vAlign w:val="center"/>
          </w:tcPr>
          <w:p>
            <w:pPr>
              <w:widowControl/>
              <w:ind w:right="147" w:rightChars="70"/>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196.21</w:t>
            </w:r>
          </w:p>
        </w:tc>
        <w:tc>
          <w:tcPr>
            <w:tcW w:w="170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r>
              <w:rPr>
                <w:rFonts w:ascii="仿宋_GB2312" w:hAnsi="宋体" w:eastAsia="仿宋_GB2312" w:cs="宋体"/>
                <w:b/>
                <w:color w:val="auto"/>
                <w:kern w:val="0"/>
                <w:sz w:val="18"/>
                <w:szCs w:val="18"/>
              </w:rPr>
              <w:t>13.87</w:t>
            </w:r>
          </w:p>
        </w:tc>
      </w:tr>
    </w:tbl>
    <w:p>
      <w:pPr>
        <w:widowControl/>
        <w:jc w:val="left"/>
        <w:outlineLvl w:val="1"/>
        <w:rPr>
          <w:color w:val="auto"/>
        </w:rPr>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表7</w:t>
      </w:r>
    </w:p>
    <w:p>
      <w:pPr>
        <w:jc w:val="center"/>
        <w:rPr>
          <w:rFonts w:ascii="仿宋_GB2312" w:hAnsi="宋体" w:eastAsia="仿宋_GB2312"/>
          <w:b/>
          <w:color w:val="auto"/>
          <w:sz w:val="32"/>
          <w:szCs w:val="32"/>
        </w:rPr>
      </w:pPr>
      <w:r>
        <w:rPr>
          <w:rFonts w:hint="eastAsia" w:ascii="仿宋_GB2312" w:hAnsi="宋体" w:eastAsia="仿宋_GB2312"/>
          <w:b/>
          <w:color w:val="auto"/>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编制单位：托克逊县医疗保障事业发展中心</w:t>
            </w:r>
          </w:p>
        </w:tc>
        <w:tc>
          <w:tcPr>
            <w:tcW w:w="2720" w:type="dxa"/>
            <w:tcBorders>
              <w:top w:val="nil"/>
              <w:left w:val="nil"/>
              <w:bottom w:val="nil"/>
              <w:right w:val="nil"/>
            </w:tcBorders>
          </w:tcPr>
          <w:p>
            <w:pPr>
              <w:widowControl/>
              <w:jc w:val="right"/>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科目编码</w:t>
            </w:r>
          </w:p>
        </w:tc>
        <w:tc>
          <w:tcPr>
            <w:tcW w:w="2321"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科目名称</w:t>
            </w:r>
          </w:p>
        </w:tc>
        <w:tc>
          <w:tcPr>
            <w:tcW w:w="21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项目名称</w:t>
            </w:r>
          </w:p>
        </w:tc>
        <w:tc>
          <w:tcPr>
            <w:tcW w:w="95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项目支出合计</w:t>
            </w:r>
          </w:p>
        </w:tc>
        <w:tc>
          <w:tcPr>
            <w:tcW w:w="7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工资福利支出</w:t>
            </w:r>
          </w:p>
        </w:tc>
        <w:tc>
          <w:tcPr>
            <w:tcW w:w="8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商品和服务支出</w:t>
            </w:r>
          </w:p>
        </w:tc>
        <w:tc>
          <w:tcPr>
            <w:tcW w:w="67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对个人和家庭的补助</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债务利息及费用支出</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资本性支出（基本建设）</w:t>
            </w:r>
          </w:p>
        </w:tc>
        <w:tc>
          <w:tcPr>
            <w:tcW w:w="71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资本性支出</w:t>
            </w:r>
          </w:p>
        </w:tc>
        <w:tc>
          <w:tcPr>
            <w:tcW w:w="79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对企业补助（基本建设）</w:t>
            </w:r>
          </w:p>
        </w:tc>
        <w:tc>
          <w:tcPr>
            <w:tcW w:w="64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对企业补助</w:t>
            </w:r>
          </w:p>
        </w:tc>
        <w:tc>
          <w:tcPr>
            <w:tcW w:w="70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对社会保障基金补助</w:t>
            </w:r>
          </w:p>
        </w:tc>
        <w:tc>
          <w:tcPr>
            <w:tcW w:w="620" w:type="dxa"/>
            <w:vMerge w:val="restart"/>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类</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款</w:t>
            </w:r>
          </w:p>
        </w:tc>
        <w:tc>
          <w:tcPr>
            <w:tcW w:w="567" w:type="dxa"/>
            <w:shd w:val="clear" w:color="auto" w:fill="auto"/>
            <w:vAlign w:val="center"/>
          </w:tcPr>
          <w:p>
            <w:pPr>
              <w:jc w:val="center"/>
              <w:rPr>
                <w:color w:val="auto"/>
                <w:sz w:val="20"/>
                <w:szCs w:val="20"/>
              </w:rPr>
            </w:pPr>
            <w:r>
              <w:rPr>
                <w:rFonts w:hint="eastAsia" w:ascii="仿宋_GB2312" w:hAnsi="宋体" w:eastAsia="仿宋_GB2312" w:cs="宋体"/>
                <w:b/>
                <w:color w:val="auto"/>
                <w:sz w:val="20"/>
                <w:szCs w:val="20"/>
              </w:rPr>
              <w:t>项</w:t>
            </w:r>
          </w:p>
        </w:tc>
        <w:tc>
          <w:tcPr>
            <w:tcW w:w="2321" w:type="dxa"/>
            <w:vMerge w:val="continue"/>
            <w:shd w:val="clear" w:color="auto" w:fill="auto"/>
            <w:vAlign w:val="center"/>
          </w:tcPr>
          <w:p>
            <w:pPr>
              <w:jc w:val="center"/>
              <w:rPr>
                <w:color w:val="auto"/>
                <w:sz w:val="20"/>
                <w:szCs w:val="20"/>
              </w:rPr>
            </w:pPr>
          </w:p>
        </w:tc>
        <w:tc>
          <w:tcPr>
            <w:tcW w:w="2170" w:type="dxa"/>
            <w:vMerge w:val="continue"/>
            <w:shd w:val="clear" w:color="auto" w:fill="auto"/>
            <w:vAlign w:val="center"/>
          </w:tcPr>
          <w:p>
            <w:pPr>
              <w:jc w:val="center"/>
              <w:rPr>
                <w:color w:val="auto"/>
                <w:sz w:val="20"/>
                <w:szCs w:val="20"/>
              </w:rPr>
            </w:pPr>
          </w:p>
        </w:tc>
        <w:tc>
          <w:tcPr>
            <w:tcW w:w="950" w:type="dxa"/>
            <w:vMerge w:val="continue"/>
            <w:shd w:val="clear" w:color="auto" w:fill="auto"/>
            <w:vAlign w:val="center"/>
          </w:tcPr>
          <w:p>
            <w:pPr>
              <w:jc w:val="center"/>
              <w:rPr>
                <w:color w:val="auto"/>
                <w:sz w:val="20"/>
                <w:szCs w:val="20"/>
              </w:rPr>
            </w:pPr>
          </w:p>
        </w:tc>
        <w:tc>
          <w:tcPr>
            <w:tcW w:w="720" w:type="dxa"/>
            <w:vMerge w:val="continue"/>
            <w:shd w:val="clear" w:color="auto" w:fill="auto"/>
            <w:vAlign w:val="center"/>
          </w:tcPr>
          <w:p>
            <w:pPr>
              <w:jc w:val="center"/>
              <w:rPr>
                <w:color w:val="auto"/>
                <w:sz w:val="20"/>
                <w:szCs w:val="20"/>
              </w:rPr>
            </w:pPr>
          </w:p>
        </w:tc>
        <w:tc>
          <w:tcPr>
            <w:tcW w:w="820" w:type="dxa"/>
            <w:vMerge w:val="continue"/>
            <w:shd w:val="clear" w:color="auto" w:fill="auto"/>
            <w:vAlign w:val="center"/>
          </w:tcPr>
          <w:p>
            <w:pPr>
              <w:jc w:val="center"/>
              <w:rPr>
                <w:color w:val="auto"/>
                <w:sz w:val="20"/>
                <w:szCs w:val="20"/>
              </w:rPr>
            </w:pPr>
          </w:p>
        </w:tc>
        <w:tc>
          <w:tcPr>
            <w:tcW w:w="67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00" w:type="dxa"/>
            <w:vMerge w:val="continue"/>
            <w:shd w:val="clear" w:color="auto" w:fill="auto"/>
            <w:vAlign w:val="center"/>
          </w:tcPr>
          <w:p>
            <w:pPr>
              <w:jc w:val="center"/>
              <w:rPr>
                <w:color w:val="auto"/>
                <w:sz w:val="20"/>
                <w:szCs w:val="20"/>
              </w:rPr>
            </w:pPr>
          </w:p>
        </w:tc>
        <w:tc>
          <w:tcPr>
            <w:tcW w:w="710" w:type="dxa"/>
            <w:vMerge w:val="continue"/>
            <w:shd w:val="clear" w:color="auto" w:fill="auto"/>
            <w:vAlign w:val="center"/>
          </w:tcPr>
          <w:p>
            <w:pPr>
              <w:jc w:val="center"/>
              <w:rPr>
                <w:color w:val="auto"/>
                <w:sz w:val="20"/>
                <w:szCs w:val="20"/>
              </w:rPr>
            </w:pPr>
          </w:p>
        </w:tc>
        <w:tc>
          <w:tcPr>
            <w:tcW w:w="790" w:type="dxa"/>
            <w:vMerge w:val="continue"/>
            <w:shd w:val="clear" w:color="auto" w:fill="auto"/>
          </w:tcPr>
          <w:p>
            <w:pPr>
              <w:jc w:val="center"/>
              <w:rPr>
                <w:color w:val="auto"/>
                <w:sz w:val="20"/>
                <w:szCs w:val="20"/>
              </w:rPr>
            </w:pPr>
          </w:p>
        </w:tc>
        <w:tc>
          <w:tcPr>
            <w:tcW w:w="640" w:type="dxa"/>
            <w:vMerge w:val="continue"/>
            <w:shd w:val="clear" w:color="auto" w:fill="auto"/>
            <w:vAlign w:val="center"/>
          </w:tcPr>
          <w:p>
            <w:pPr>
              <w:jc w:val="center"/>
              <w:rPr>
                <w:color w:val="auto"/>
                <w:sz w:val="20"/>
                <w:szCs w:val="20"/>
              </w:rPr>
            </w:pPr>
          </w:p>
        </w:tc>
        <w:tc>
          <w:tcPr>
            <w:tcW w:w="700" w:type="dxa"/>
            <w:vMerge w:val="continue"/>
            <w:shd w:val="clear" w:color="auto" w:fill="auto"/>
          </w:tcPr>
          <w:p>
            <w:pPr>
              <w:jc w:val="center"/>
              <w:rPr>
                <w:color w:val="auto"/>
                <w:sz w:val="20"/>
                <w:szCs w:val="20"/>
              </w:rPr>
            </w:pPr>
          </w:p>
        </w:tc>
        <w:tc>
          <w:tcPr>
            <w:tcW w:w="620" w:type="dxa"/>
            <w:vMerge w:val="continue"/>
            <w:shd w:val="clear" w:color="auto" w:fill="auto"/>
          </w:tcPr>
          <w:p>
            <w:pPr>
              <w:jc w:val="center"/>
              <w:rPr>
                <w:color w:val="auto"/>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卫生健康支出</w:t>
            </w: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20.00</w:t>
            </w:r>
          </w:p>
        </w:tc>
        <w:tc>
          <w:tcPr>
            <w:tcW w:w="72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20.00</w:t>
            </w: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210</w:t>
            </w:r>
          </w:p>
        </w:tc>
        <w:tc>
          <w:tcPr>
            <w:tcW w:w="567" w:type="dxa"/>
            <w:shd w:val="clear" w:color="auto" w:fill="auto"/>
            <w:vAlign w:val="center"/>
          </w:tcPr>
          <w:p>
            <w:pPr>
              <w:jc w:val="center"/>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15</w:t>
            </w: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医疗保障管理事务</w:t>
            </w:r>
          </w:p>
        </w:tc>
        <w:tc>
          <w:tcPr>
            <w:tcW w:w="2170" w:type="dxa"/>
            <w:shd w:val="clear" w:color="auto" w:fill="auto"/>
            <w:vAlign w:val="center"/>
          </w:tcPr>
          <w:p>
            <w:pPr>
              <w:jc w:val="left"/>
              <w:rPr>
                <w:rFonts w:ascii="仿宋_GB2312" w:hAnsi="宋体" w:eastAsia="仿宋_GB2312" w:cs="宋体"/>
                <w:b/>
                <w:color w:val="auto"/>
                <w:sz w:val="18"/>
                <w:szCs w:val="18"/>
              </w:rPr>
            </w:pP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20.00</w:t>
            </w:r>
          </w:p>
        </w:tc>
        <w:tc>
          <w:tcPr>
            <w:tcW w:w="72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20.00</w:t>
            </w: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210</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15</w:t>
            </w:r>
          </w:p>
        </w:tc>
        <w:tc>
          <w:tcPr>
            <w:tcW w:w="567" w:type="dxa"/>
            <w:shd w:val="clear" w:color="auto" w:fill="auto"/>
            <w:vAlign w:val="center"/>
          </w:tcPr>
          <w:p>
            <w:pPr>
              <w:jc w:val="center"/>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50</w:t>
            </w:r>
          </w:p>
        </w:tc>
        <w:tc>
          <w:tcPr>
            <w:tcW w:w="2321"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事业运行</w:t>
            </w:r>
          </w:p>
        </w:tc>
        <w:tc>
          <w:tcPr>
            <w:tcW w:w="2170" w:type="dxa"/>
            <w:shd w:val="clear" w:color="auto" w:fill="auto"/>
            <w:vAlign w:val="center"/>
          </w:tcPr>
          <w:p>
            <w:pPr>
              <w:jc w:val="lef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离休人员医疗费</w:t>
            </w:r>
          </w:p>
        </w:tc>
        <w:tc>
          <w:tcPr>
            <w:tcW w:w="950" w:type="dxa"/>
            <w:shd w:val="clear" w:color="auto" w:fill="auto"/>
            <w:vAlign w:val="center"/>
          </w:tcPr>
          <w:p>
            <w:pPr>
              <w:ind w:right="-29" w:rightChars="-14"/>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20.00</w:t>
            </w:r>
          </w:p>
        </w:tc>
        <w:tc>
          <w:tcPr>
            <w:tcW w:w="720" w:type="dxa"/>
            <w:shd w:val="clear" w:color="auto" w:fill="auto"/>
            <w:vAlign w:val="center"/>
          </w:tcPr>
          <w:p>
            <w:pPr>
              <w:jc w:val="right"/>
              <w:rPr>
                <w:rFonts w:ascii="仿宋_GB2312" w:hAnsi="宋体" w:eastAsia="仿宋_GB2312" w:cs="宋体"/>
                <w:color w:val="auto"/>
                <w:sz w:val="18"/>
                <w:szCs w:val="18"/>
              </w:rPr>
            </w:pPr>
            <w:r>
              <w:rPr>
                <w:rFonts w:hint="eastAsia" w:ascii="仿宋_GB2312" w:hAnsi="宋体" w:eastAsia="仿宋_GB2312" w:cs="宋体"/>
                <w:color w:val="auto"/>
                <w:kern w:val="0"/>
                <w:sz w:val="18"/>
                <w:szCs w:val="18"/>
              </w:rPr>
              <w:t>20.00</w:t>
            </w:r>
          </w:p>
        </w:tc>
        <w:tc>
          <w:tcPr>
            <w:tcW w:w="820" w:type="dxa"/>
            <w:shd w:val="clear" w:color="auto" w:fill="auto"/>
            <w:vAlign w:val="center"/>
          </w:tcPr>
          <w:p>
            <w:pPr>
              <w:jc w:val="right"/>
              <w:rPr>
                <w:rFonts w:ascii="仿宋_GB2312" w:hAnsi="宋体" w:eastAsia="仿宋_GB2312" w:cs="宋体"/>
                <w:color w:val="auto"/>
                <w:sz w:val="18"/>
                <w:szCs w:val="18"/>
              </w:rPr>
            </w:pPr>
          </w:p>
        </w:tc>
        <w:tc>
          <w:tcPr>
            <w:tcW w:w="67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710" w:type="dxa"/>
            <w:shd w:val="clear" w:color="auto" w:fill="auto"/>
            <w:vAlign w:val="center"/>
          </w:tcPr>
          <w:p>
            <w:pPr>
              <w:jc w:val="right"/>
              <w:rPr>
                <w:rFonts w:ascii="仿宋_GB2312" w:hAnsi="宋体" w:eastAsia="仿宋_GB2312" w:cs="宋体"/>
                <w:color w:val="auto"/>
                <w:sz w:val="18"/>
                <w:szCs w:val="18"/>
              </w:rPr>
            </w:pPr>
          </w:p>
        </w:tc>
        <w:tc>
          <w:tcPr>
            <w:tcW w:w="790" w:type="dxa"/>
            <w:shd w:val="clear" w:color="auto" w:fill="auto"/>
            <w:vAlign w:val="center"/>
          </w:tcPr>
          <w:p>
            <w:pPr>
              <w:jc w:val="right"/>
              <w:rPr>
                <w:rFonts w:ascii="仿宋_GB2312" w:hAnsi="宋体" w:eastAsia="仿宋_GB2312" w:cs="宋体"/>
                <w:color w:val="auto"/>
                <w:sz w:val="18"/>
                <w:szCs w:val="18"/>
              </w:rPr>
            </w:pPr>
          </w:p>
        </w:tc>
        <w:tc>
          <w:tcPr>
            <w:tcW w:w="640" w:type="dxa"/>
            <w:shd w:val="clear" w:color="auto" w:fill="auto"/>
            <w:vAlign w:val="center"/>
          </w:tcPr>
          <w:p>
            <w:pPr>
              <w:jc w:val="right"/>
              <w:rPr>
                <w:rFonts w:ascii="仿宋_GB2312" w:hAnsi="宋体" w:eastAsia="仿宋_GB2312" w:cs="宋体"/>
                <w:color w:val="auto"/>
                <w:sz w:val="18"/>
                <w:szCs w:val="18"/>
              </w:rPr>
            </w:pPr>
          </w:p>
        </w:tc>
        <w:tc>
          <w:tcPr>
            <w:tcW w:w="700" w:type="dxa"/>
            <w:shd w:val="clear" w:color="auto" w:fill="auto"/>
            <w:vAlign w:val="center"/>
          </w:tcPr>
          <w:p>
            <w:pPr>
              <w:jc w:val="right"/>
              <w:rPr>
                <w:rFonts w:ascii="仿宋_GB2312" w:hAnsi="宋体" w:eastAsia="仿宋_GB2312" w:cs="宋体"/>
                <w:color w:val="auto"/>
                <w:sz w:val="18"/>
                <w:szCs w:val="18"/>
              </w:rPr>
            </w:pPr>
          </w:p>
        </w:tc>
        <w:tc>
          <w:tcPr>
            <w:tcW w:w="620" w:type="dxa"/>
            <w:shd w:val="clear" w:color="auto" w:fill="auto"/>
            <w:vAlign w:val="center"/>
          </w:tcPr>
          <w:p>
            <w:pPr>
              <w:jc w:val="right"/>
              <w:rPr>
                <w:rFonts w:ascii="仿宋_GB2312" w:hAnsi="宋体" w:eastAsia="仿宋_GB2312" w:cs="宋体"/>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567" w:type="dxa"/>
            <w:shd w:val="clear" w:color="auto" w:fill="auto"/>
            <w:vAlign w:val="center"/>
          </w:tcPr>
          <w:p>
            <w:pPr>
              <w:jc w:val="center"/>
              <w:rPr>
                <w:rFonts w:ascii="仿宋_GB2312" w:hAnsi="宋体" w:eastAsia="仿宋_GB2312" w:cs="宋体"/>
                <w:b/>
                <w:color w:val="auto"/>
                <w:sz w:val="18"/>
                <w:szCs w:val="18"/>
              </w:rPr>
            </w:pPr>
          </w:p>
        </w:tc>
        <w:tc>
          <w:tcPr>
            <w:tcW w:w="2321" w:type="dxa"/>
            <w:shd w:val="clear" w:color="auto" w:fill="auto"/>
            <w:vAlign w:val="center"/>
          </w:tcPr>
          <w:p>
            <w:pPr>
              <w:jc w:val="left"/>
              <w:rPr>
                <w:rFonts w:ascii="仿宋_GB2312" w:hAnsi="宋体" w:eastAsia="仿宋_GB2312" w:cs="宋体"/>
                <w:b/>
                <w:color w:val="auto"/>
                <w:sz w:val="18"/>
                <w:szCs w:val="18"/>
              </w:rPr>
            </w:pPr>
          </w:p>
        </w:tc>
        <w:tc>
          <w:tcPr>
            <w:tcW w:w="2170" w:type="dxa"/>
            <w:shd w:val="clear" w:color="auto" w:fill="auto"/>
            <w:vAlign w:val="center"/>
          </w:tcPr>
          <w:p>
            <w:pPr>
              <w:jc w:val="lef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合计</w:t>
            </w:r>
          </w:p>
        </w:tc>
        <w:tc>
          <w:tcPr>
            <w:tcW w:w="950" w:type="dxa"/>
            <w:shd w:val="clear" w:color="auto" w:fill="auto"/>
            <w:vAlign w:val="center"/>
          </w:tcPr>
          <w:p>
            <w:pPr>
              <w:ind w:right="-29" w:rightChars="-14"/>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20.00</w:t>
            </w:r>
          </w:p>
        </w:tc>
        <w:tc>
          <w:tcPr>
            <w:tcW w:w="720" w:type="dxa"/>
            <w:shd w:val="clear" w:color="auto" w:fill="auto"/>
            <w:vAlign w:val="center"/>
          </w:tcPr>
          <w:p>
            <w:pPr>
              <w:jc w:val="right"/>
              <w:rPr>
                <w:rFonts w:ascii="仿宋_GB2312" w:hAnsi="宋体" w:eastAsia="仿宋_GB2312" w:cs="宋体"/>
                <w:b/>
                <w:color w:val="auto"/>
                <w:sz w:val="18"/>
                <w:szCs w:val="18"/>
              </w:rPr>
            </w:pPr>
            <w:r>
              <w:rPr>
                <w:rFonts w:hint="eastAsia" w:ascii="仿宋_GB2312" w:hAnsi="宋体" w:eastAsia="仿宋_GB2312" w:cs="宋体"/>
                <w:b/>
                <w:color w:val="auto"/>
                <w:kern w:val="0"/>
                <w:sz w:val="18"/>
                <w:szCs w:val="18"/>
              </w:rPr>
              <w:t>20.00</w:t>
            </w:r>
          </w:p>
        </w:tc>
        <w:tc>
          <w:tcPr>
            <w:tcW w:w="820" w:type="dxa"/>
            <w:shd w:val="clear" w:color="auto" w:fill="auto"/>
            <w:vAlign w:val="center"/>
          </w:tcPr>
          <w:p>
            <w:pPr>
              <w:jc w:val="right"/>
              <w:rPr>
                <w:rFonts w:ascii="仿宋_GB2312" w:hAnsi="宋体" w:eastAsia="仿宋_GB2312" w:cs="宋体"/>
                <w:b/>
                <w:color w:val="auto"/>
                <w:sz w:val="18"/>
                <w:szCs w:val="18"/>
              </w:rPr>
            </w:pPr>
          </w:p>
        </w:tc>
        <w:tc>
          <w:tcPr>
            <w:tcW w:w="67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710" w:type="dxa"/>
            <w:shd w:val="clear" w:color="auto" w:fill="auto"/>
            <w:vAlign w:val="center"/>
          </w:tcPr>
          <w:p>
            <w:pPr>
              <w:jc w:val="right"/>
              <w:rPr>
                <w:rFonts w:ascii="仿宋_GB2312" w:hAnsi="宋体" w:eastAsia="仿宋_GB2312" w:cs="宋体"/>
                <w:b/>
                <w:color w:val="auto"/>
                <w:sz w:val="18"/>
                <w:szCs w:val="18"/>
              </w:rPr>
            </w:pPr>
          </w:p>
        </w:tc>
        <w:tc>
          <w:tcPr>
            <w:tcW w:w="790" w:type="dxa"/>
            <w:shd w:val="clear" w:color="auto" w:fill="auto"/>
            <w:vAlign w:val="center"/>
          </w:tcPr>
          <w:p>
            <w:pPr>
              <w:jc w:val="right"/>
              <w:rPr>
                <w:rFonts w:ascii="仿宋_GB2312" w:hAnsi="宋体" w:eastAsia="仿宋_GB2312" w:cs="宋体"/>
                <w:b/>
                <w:color w:val="auto"/>
                <w:sz w:val="18"/>
                <w:szCs w:val="18"/>
              </w:rPr>
            </w:pPr>
          </w:p>
        </w:tc>
        <w:tc>
          <w:tcPr>
            <w:tcW w:w="640" w:type="dxa"/>
            <w:shd w:val="clear" w:color="auto" w:fill="auto"/>
            <w:vAlign w:val="center"/>
          </w:tcPr>
          <w:p>
            <w:pPr>
              <w:jc w:val="right"/>
              <w:rPr>
                <w:rFonts w:ascii="仿宋_GB2312" w:hAnsi="宋体" w:eastAsia="仿宋_GB2312" w:cs="宋体"/>
                <w:b/>
                <w:color w:val="auto"/>
                <w:sz w:val="18"/>
                <w:szCs w:val="18"/>
              </w:rPr>
            </w:pPr>
          </w:p>
        </w:tc>
        <w:tc>
          <w:tcPr>
            <w:tcW w:w="700" w:type="dxa"/>
            <w:shd w:val="clear" w:color="auto" w:fill="auto"/>
            <w:vAlign w:val="center"/>
          </w:tcPr>
          <w:p>
            <w:pPr>
              <w:jc w:val="right"/>
              <w:rPr>
                <w:rFonts w:ascii="仿宋_GB2312" w:hAnsi="宋体" w:eastAsia="仿宋_GB2312" w:cs="宋体"/>
                <w:b/>
                <w:color w:val="auto"/>
                <w:sz w:val="18"/>
                <w:szCs w:val="18"/>
              </w:rPr>
            </w:pPr>
          </w:p>
        </w:tc>
        <w:tc>
          <w:tcPr>
            <w:tcW w:w="620" w:type="dxa"/>
            <w:shd w:val="clear" w:color="auto" w:fill="auto"/>
            <w:vAlign w:val="center"/>
          </w:tcPr>
          <w:p>
            <w:pPr>
              <w:jc w:val="right"/>
              <w:rPr>
                <w:rFonts w:ascii="仿宋_GB2312" w:hAnsi="宋体" w:eastAsia="仿宋_GB2312" w:cs="宋体"/>
                <w:b/>
                <w:color w:val="auto"/>
                <w:sz w:val="18"/>
                <w:szCs w:val="18"/>
              </w:rPr>
            </w:pPr>
          </w:p>
        </w:tc>
      </w:tr>
    </w:tbl>
    <w:p>
      <w:pPr>
        <w:widowControl/>
        <w:jc w:val="left"/>
        <w:outlineLvl w:val="1"/>
        <w:rPr>
          <w:color w:val="auto"/>
        </w:rPr>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ascii="仿宋_GB2312" w:hAnsi="宋体" w:eastAsia="仿宋_GB2312"/>
          <w:b/>
          <w:color w:val="auto"/>
          <w:kern w:val="0"/>
          <w:sz w:val="32"/>
          <w:szCs w:val="32"/>
        </w:rPr>
      </w:pPr>
      <w:r>
        <w:rPr>
          <w:rFonts w:hint="eastAsia" w:ascii="宋体" w:hAnsi="宋体" w:cs="宋体"/>
          <w:color w:val="auto"/>
          <w:kern w:val="0"/>
          <w:sz w:val="20"/>
          <w:szCs w:val="20"/>
        </w:rPr>
        <w:t>表8</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编制单位：托克逊县医疗保障事业发展中心</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政府性基金预算支出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备注：托克逊县医疗保障事业发展中心2024年没有使用政府性基金预算拨款安排的支出，政府性基金预算支出情况表为空表。</w:t>
      </w: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表9</w:t>
      </w: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编制单位：托克逊县医疗保障事业发展中心</w:t>
            </w:r>
          </w:p>
        </w:tc>
        <w:tc>
          <w:tcPr>
            <w:tcW w:w="1318"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科目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4"/>
              </w:rPr>
            </w:pPr>
            <w:r>
              <w:rPr>
                <w:rFonts w:hint="eastAsia" w:ascii="仿宋_GB2312" w:hAnsi="宋体" w:eastAsia="仿宋_GB2312" w:cs="宋体"/>
                <w:b/>
                <w:bCs/>
                <w:color w:val="auto"/>
                <w:kern w:val="0"/>
                <w:sz w:val="24"/>
              </w:rPr>
              <w:t>国有资本经营预算支出</w:t>
            </w:r>
          </w:p>
        </w:tc>
      </w:tr>
      <w:tr>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项目支出</w:t>
            </w:r>
          </w:p>
        </w:tc>
      </w:tr>
      <w:tr>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款</w:t>
            </w: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s="宋体"/>
                <w:b/>
                <w:bCs/>
                <w:color w:val="auto"/>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auto"/>
                <w:kern w:val="0"/>
                <w:sz w:val="20"/>
              </w:rPr>
            </w:pPr>
            <w:r>
              <w:rPr>
                <w:rFonts w:hint="eastAsia" w:ascii="仿宋_GB2312" w:hAnsi="宋体" w:eastAsia="仿宋_GB2312" w:cs="宋体"/>
                <w:b/>
                <w:bCs/>
                <w:color w:val="auto"/>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s="宋体"/>
                <w:b/>
                <w:bCs/>
                <w:color w:val="auto"/>
                <w:kern w:val="0"/>
                <w:sz w:val="20"/>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lef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color w:val="auto"/>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szCs w:val="18"/>
              </w:rPr>
            </w:pPr>
            <w:r>
              <w:rPr>
                <w:rFonts w:hint="eastAsia" w:ascii="仿宋_GB2312" w:hAnsi="宋体" w:eastAsia="仿宋_GB2312" w:cs="宋体"/>
                <w:b/>
                <w:color w:val="auto"/>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right"/>
              <w:rPr>
                <w:rFonts w:ascii="仿宋_GB2312" w:hAnsi="宋体" w:eastAsia="仿宋_GB2312" w:cs="宋体"/>
                <w:b/>
                <w:color w:val="auto"/>
                <w:kern w:val="0"/>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备注：托克逊县医疗保障事业发展中心2024年没有使用国有资本经营预算拨款安排的支出，国有资本经营预算支出情况表为空表。</w:t>
      </w:r>
    </w:p>
    <w:p>
      <w:pPr>
        <w:widowControl/>
        <w:jc w:val="left"/>
        <w:outlineLvl w:val="1"/>
        <w:rPr>
          <w:rFonts w:ascii="仿宋_GB2312" w:hAnsi="宋体" w:eastAsia="仿宋_GB2312"/>
          <w:b/>
          <w:color w:val="auto"/>
          <w:kern w:val="0"/>
          <w:sz w:val="32"/>
          <w:szCs w:val="32"/>
        </w:rPr>
      </w:pP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表10</w:t>
      </w:r>
    </w:p>
    <w:p>
      <w:pPr>
        <w:widowControl/>
        <w:jc w:val="left"/>
        <w:outlineLvl w:val="1"/>
        <w:rPr>
          <w:rFonts w:ascii="仿宋_GB2312" w:hAnsi="宋体" w:eastAsia="仿宋_GB2312"/>
          <w:b/>
          <w:color w:val="auto"/>
          <w:kern w:val="0"/>
          <w:sz w:val="32"/>
          <w:szCs w:val="32"/>
        </w:rPr>
      </w:pP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财政拨款“三公”经费支出情况表</w:t>
      </w:r>
    </w:p>
    <w:p>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编制单位：托克逊县医疗保障事业发展中心</w:t>
            </w:r>
          </w:p>
        </w:tc>
        <w:tc>
          <w:tcPr>
            <w:tcW w:w="1312" w:type="dxa"/>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bl>
    <w:p>
      <w:pPr>
        <w:rPr>
          <w:vanish/>
          <w:color w:val="auto"/>
        </w:rPr>
      </w:pPr>
    </w:p>
    <w:tbl>
      <w:tblPr>
        <w:tblStyle w:val="4"/>
        <w:tblW w:w="9000" w:type="dxa"/>
        <w:tblInd w:w="93" w:type="dxa"/>
        <w:tblLayout w:type="autofit"/>
        <w:tblCellMar>
          <w:top w:w="0" w:type="dxa"/>
          <w:left w:w="108" w:type="dxa"/>
          <w:bottom w:w="0" w:type="dxa"/>
          <w:right w:w="108" w:type="dxa"/>
        </w:tblCellMar>
      </w:tblPr>
      <w:tblGrid>
        <w:gridCol w:w="3202"/>
        <w:gridCol w:w="1379"/>
        <w:gridCol w:w="1518"/>
        <w:gridCol w:w="1383"/>
        <w:gridCol w:w="1518"/>
      </w:tblGrid>
      <w:tr>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资金来源</w:t>
            </w:r>
          </w:p>
        </w:tc>
      </w:tr>
      <w:tr>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仿宋_GB2312" w:hAnsi="宋体" w:eastAsia="仿宋_GB2312" w:cs="宋体"/>
                <w:b/>
                <w:bCs/>
                <w:color w:val="auto"/>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bCs/>
                <w:color w:val="auto"/>
                <w:kern w:val="0"/>
                <w:sz w:val="28"/>
                <w:szCs w:val="32"/>
              </w:rPr>
            </w:pPr>
            <w:r>
              <w:rPr>
                <w:rFonts w:hint="eastAsia" w:ascii="仿宋_GB2312" w:hAnsi="宋体" w:eastAsia="仿宋_GB2312" w:cs="宋体"/>
                <w:b/>
                <w:bCs/>
                <w:color w:val="auto"/>
                <w:kern w:val="0"/>
                <w:sz w:val="28"/>
                <w:szCs w:val="32"/>
              </w:rPr>
              <w:t>国有资本经营预算</w:t>
            </w: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r>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28"/>
              </w:rPr>
            </w:pPr>
            <w:r>
              <w:rPr>
                <w:rFonts w:hint="eastAsia" w:ascii="仿宋_GB2312" w:hAnsi="宋体" w:eastAsia="仿宋_GB2312" w:cs="宋体"/>
                <w:b/>
                <w:color w:val="auto"/>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418"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c>
          <w:tcPr>
            <w:tcW w:w="1559" w:type="dxa"/>
            <w:tcBorders>
              <w:top w:val="nil"/>
              <w:left w:val="nil"/>
              <w:bottom w:val="single" w:color="auto" w:sz="4" w:space="0"/>
              <w:right w:val="single" w:color="auto" w:sz="4" w:space="0"/>
            </w:tcBorders>
            <w:shd w:val="clear" w:color="auto" w:fill="auto"/>
            <w:vAlign w:val="center"/>
          </w:tcPr>
          <w:p>
            <w:pPr>
              <w:widowControl/>
              <w:jc w:val="center"/>
              <w:rPr>
                <w:rFonts w:ascii="仿宋_GB2312" w:hAnsi="宋体" w:eastAsia="仿宋_GB2312" w:cs="宋体"/>
                <w:b/>
                <w:color w:val="auto"/>
                <w:kern w:val="0"/>
                <w:sz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备注：托克逊县医疗保障事业发展中心2024年未安排三公经费预算，三公经费支出情况表为空表。</w:t>
      </w:r>
    </w:p>
    <w:p>
      <w:pPr>
        <w:widowControl/>
        <w:jc w:val="left"/>
        <w:outlineLvl w:val="1"/>
        <w:rPr>
          <w:rFonts w:ascii="仿宋_GB2312" w:hAnsi="宋体" w:eastAsia="仿宋_GB2312"/>
          <w:b/>
          <w:color w:val="auto"/>
          <w:kern w:val="0"/>
          <w:sz w:val="32"/>
          <w:szCs w:val="32"/>
        </w:rPr>
      </w:pPr>
    </w:p>
    <w:p>
      <w:pPr>
        <w:widowControl/>
        <w:jc w:val="left"/>
        <w:outlineLvl w:val="1"/>
        <w:rPr>
          <w:rFonts w:ascii="仿宋_GB2312" w:hAnsi="宋体" w:eastAsia="仿宋_GB2312"/>
          <w:b/>
          <w:color w:val="auto"/>
          <w:kern w:val="0"/>
          <w:sz w:val="32"/>
          <w:szCs w:val="32"/>
        </w:rPr>
      </w:pPr>
      <w:r>
        <w:rPr>
          <w:rFonts w:ascii="微软雅黑" w:hAnsi="Calibri" w:eastAsia="微软雅黑"/>
          <w:b/>
          <w:bCs/>
          <w:color w:val="auto"/>
          <w:kern w:val="44"/>
          <w:sz w:val="28"/>
          <w:szCs w:val="28"/>
        </w:rPr>
        <w:br w:type="page"/>
      </w:r>
      <w:r>
        <w:rPr>
          <w:rFonts w:hint="eastAsia" w:ascii="宋体" w:hAnsi="宋体" w:cs="宋体"/>
          <w:color w:val="auto"/>
          <w:kern w:val="0"/>
          <w:sz w:val="20"/>
          <w:szCs w:val="20"/>
        </w:rPr>
        <w:t>表11</w:t>
      </w:r>
    </w:p>
    <w:p>
      <w:pPr>
        <w:widowControl/>
        <w:jc w:val="left"/>
        <w:outlineLvl w:val="1"/>
        <w:rPr>
          <w:rFonts w:ascii="仿宋_GB2312" w:hAnsi="宋体" w:eastAsia="仿宋_GB2312"/>
          <w:b/>
          <w:color w:val="auto"/>
          <w:kern w:val="0"/>
          <w:sz w:val="32"/>
          <w:szCs w:val="32"/>
        </w:rPr>
      </w:pPr>
    </w:p>
    <w:p>
      <w:pPr>
        <w:widowControl/>
        <w:jc w:val="center"/>
        <w:outlineLvl w:val="1"/>
        <w:rPr>
          <w:rFonts w:ascii="仿宋_GB2312" w:hAnsi="宋体" w:eastAsia="仿宋_GB2312"/>
          <w:b/>
          <w:color w:val="auto"/>
          <w:kern w:val="0"/>
          <w:sz w:val="32"/>
          <w:szCs w:val="32"/>
        </w:rPr>
      </w:pPr>
      <w:r>
        <w:rPr>
          <w:rFonts w:hint="eastAsia" w:ascii="仿宋_GB2312" w:hAnsi="宋体" w:eastAsia="仿宋_GB2312"/>
          <w:b/>
          <w:color w:val="auto"/>
          <w:kern w:val="0"/>
          <w:sz w:val="32"/>
          <w:szCs w:val="32"/>
        </w:rPr>
        <w:t>上年结转结余情况明细表</w:t>
      </w:r>
    </w:p>
    <w:p>
      <w:pPr>
        <w:widowControl/>
        <w:jc w:val="center"/>
        <w:outlineLvl w:val="1"/>
        <w:rPr>
          <w:rFonts w:ascii="仿宋_GB2312" w:hAnsi="宋体" w:eastAsia="仿宋_GB2312"/>
          <w:b/>
          <w:color w:val="auto"/>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编制单位：托克逊县医疗保障事业发展中心</w:t>
            </w:r>
          </w:p>
        </w:tc>
        <w:tc>
          <w:tcPr>
            <w:tcW w:w="2000" w:type="dxa"/>
            <w:gridSpan w:val="2"/>
            <w:tcBorders>
              <w:top w:val="nil"/>
              <w:left w:val="nil"/>
              <w:bottom w:val="nil"/>
              <w:right w:val="nil"/>
            </w:tcBorders>
          </w:tcPr>
          <w:p>
            <w:pPr>
              <w:widowControl/>
              <w:outlineLvl w:val="1"/>
              <w:rPr>
                <w:rFonts w:ascii="仿宋_GB2312" w:hAnsi="宋体" w:eastAsia="仿宋_GB2312"/>
                <w:b/>
                <w:color w:val="auto"/>
                <w:kern w:val="0"/>
                <w:sz w:val="32"/>
                <w:szCs w:val="32"/>
              </w:rPr>
            </w:pPr>
            <w:r>
              <w:rPr>
                <w:rFonts w:hint="eastAsia" w:ascii="仿宋_GB2312" w:hAnsi="宋体" w:eastAsia="仿宋_GB2312" w:cs="宋体"/>
                <w:color w:val="auto"/>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w:t>
            </w:r>
          </w:p>
        </w:tc>
        <w:tc>
          <w:tcPr>
            <w:tcW w:w="850"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总计</w:t>
            </w:r>
          </w:p>
        </w:tc>
        <w:tc>
          <w:tcPr>
            <w:tcW w:w="3869" w:type="dxa"/>
            <w:gridSpan w:val="4"/>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财政拨款</w:t>
            </w:r>
          </w:p>
        </w:tc>
        <w:tc>
          <w:tcPr>
            <w:tcW w:w="3612" w:type="dxa"/>
            <w:gridSpan w:val="4"/>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pPr>
              <w:widowControl/>
              <w:spacing w:line="280" w:lineRule="exact"/>
              <w:jc w:val="center"/>
              <w:rPr>
                <w:rFonts w:ascii="仿宋_GB2312" w:hAnsi="宋体" w:eastAsia="仿宋_GB2312" w:cs="宋体"/>
                <w:b/>
                <w:bCs/>
                <w:color w:val="auto"/>
                <w:kern w:val="0"/>
                <w:sz w:val="20"/>
                <w:szCs w:val="20"/>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rPr>
            </w:pPr>
          </w:p>
        </w:tc>
        <w:tc>
          <w:tcPr>
            <w:tcW w:w="1054"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791" w:type="dxa"/>
            <w:gridSpan w:val="2"/>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024"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c>
          <w:tcPr>
            <w:tcW w:w="797"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合计</w:t>
            </w:r>
          </w:p>
        </w:tc>
        <w:tc>
          <w:tcPr>
            <w:tcW w:w="1604" w:type="dxa"/>
            <w:gridSpan w:val="2"/>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基本支出</w:t>
            </w:r>
          </w:p>
        </w:tc>
        <w:tc>
          <w:tcPr>
            <w:tcW w:w="1211" w:type="dxa"/>
            <w:vMerge w:val="restart"/>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pPr>
              <w:spacing w:line="600" w:lineRule="exact"/>
              <w:jc w:val="center"/>
              <w:rPr>
                <w:rFonts w:ascii="仿宋" w:hAnsi="仿宋" w:eastAsia="仿宋" w:cs="仿宋_GB2312"/>
                <w:bCs/>
                <w:color w:val="auto"/>
                <w:kern w:val="0"/>
                <w:sz w:val="28"/>
                <w:szCs w:val="28"/>
              </w:rPr>
            </w:pPr>
          </w:p>
        </w:tc>
        <w:tc>
          <w:tcPr>
            <w:tcW w:w="850" w:type="dxa"/>
            <w:vMerge w:val="continue"/>
            <w:vAlign w:val="center"/>
          </w:tcPr>
          <w:p>
            <w:pPr>
              <w:spacing w:line="600" w:lineRule="exact"/>
              <w:jc w:val="center"/>
              <w:rPr>
                <w:rFonts w:ascii="仿宋" w:hAnsi="仿宋" w:eastAsia="仿宋" w:cs="仿宋_GB2312"/>
                <w:bCs/>
                <w:color w:val="auto"/>
                <w:kern w:val="0"/>
                <w:sz w:val="28"/>
                <w:szCs w:val="28"/>
              </w:rPr>
            </w:pPr>
          </w:p>
        </w:tc>
        <w:tc>
          <w:tcPr>
            <w:tcW w:w="1054" w:type="dxa"/>
            <w:vMerge w:val="continue"/>
            <w:vAlign w:val="center"/>
          </w:tcPr>
          <w:p>
            <w:pPr>
              <w:spacing w:line="600" w:lineRule="exact"/>
              <w:jc w:val="center"/>
              <w:rPr>
                <w:rFonts w:ascii="仿宋" w:hAnsi="仿宋" w:eastAsia="仿宋" w:cs="仿宋_GB2312"/>
                <w:bCs/>
                <w:color w:val="auto"/>
                <w:kern w:val="0"/>
                <w:sz w:val="28"/>
                <w:szCs w:val="28"/>
              </w:rPr>
            </w:pPr>
          </w:p>
        </w:tc>
        <w:tc>
          <w:tcPr>
            <w:tcW w:w="890"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901"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024" w:type="dxa"/>
            <w:vMerge w:val="continue"/>
            <w:vAlign w:val="center"/>
          </w:tcPr>
          <w:p>
            <w:pPr>
              <w:spacing w:line="600" w:lineRule="exact"/>
              <w:jc w:val="center"/>
              <w:rPr>
                <w:rFonts w:ascii="仿宋" w:hAnsi="仿宋" w:eastAsia="仿宋" w:cs="仿宋_GB2312"/>
                <w:bCs/>
                <w:color w:val="auto"/>
                <w:kern w:val="0"/>
                <w:sz w:val="28"/>
                <w:szCs w:val="28"/>
              </w:rPr>
            </w:pPr>
          </w:p>
        </w:tc>
        <w:tc>
          <w:tcPr>
            <w:tcW w:w="797" w:type="dxa"/>
            <w:vMerge w:val="continue"/>
            <w:vAlign w:val="center"/>
          </w:tcPr>
          <w:p>
            <w:pPr>
              <w:spacing w:line="600" w:lineRule="exact"/>
              <w:jc w:val="center"/>
              <w:rPr>
                <w:rFonts w:ascii="仿宋" w:hAnsi="仿宋" w:eastAsia="仿宋" w:cs="仿宋_GB2312"/>
                <w:bCs/>
                <w:color w:val="auto"/>
                <w:kern w:val="0"/>
                <w:sz w:val="28"/>
                <w:szCs w:val="28"/>
              </w:rPr>
            </w:pPr>
          </w:p>
        </w:tc>
        <w:tc>
          <w:tcPr>
            <w:tcW w:w="813"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人员经费</w:t>
            </w:r>
          </w:p>
        </w:tc>
        <w:tc>
          <w:tcPr>
            <w:tcW w:w="791" w:type="dxa"/>
            <w:vAlign w:val="center"/>
          </w:tcPr>
          <w:p>
            <w:pPr>
              <w:widowControl/>
              <w:spacing w:line="280" w:lineRule="exact"/>
              <w:jc w:val="center"/>
              <w:rPr>
                <w:rFonts w:ascii="仿宋_GB2312" w:hAnsi="宋体" w:eastAsia="仿宋_GB2312" w:cs="宋体"/>
                <w:b/>
                <w:bCs/>
                <w:color w:val="auto"/>
                <w:kern w:val="0"/>
                <w:sz w:val="20"/>
                <w:szCs w:val="20"/>
              </w:rPr>
            </w:pPr>
            <w:r>
              <w:rPr>
                <w:rFonts w:hint="eastAsia" w:ascii="仿宋_GB2312" w:hAnsi="宋体" w:eastAsia="仿宋_GB2312" w:cs="宋体"/>
                <w:b/>
                <w:bCs/>
                <w:color w:val="auto"/>
                <w:kern w:val="0"/>
                <w:sz w:val="20"/>
                <w:szCs w:val="20"/>
              </w:rPr>
              <w:t>公用经费</w:t>
            </w:r>
          </w:p>
        </w:tc>
        <w:tc>
          <w:tcPr>
            <w:tcW w:w="1211" w:type="dxa"/>
            <w:vMerge w:val="continue"/>
            <w:vAlign w:val="center"/>
          </w:tcPr>
          <w:p>
            <w:pPr>
              <w:widowControl/>
              <w:spacing w:line="280" w:lineRule="exact"/>
              <w:jc w:val="center"/>
              <w:rPr>
                <w:rFonts w:ascii="仿宋_GB2312" w:hAnsi="宋体" w:eastAsia="仿宋_GB2312" w:cs="宋体"/>
                <w:b/>
                <w:bCs/>
                <w:color w:val="auto"/>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p>
        </w:tc>
        <w:tc>
          <w:tcPr>
            <w:tcW w:w="850" w:type="dxa"/>
            <w:vAlign w:val="center"/>
          </w:tcPr>
          <w:p>
            <w:pPr>
              <w:spacing w:line="600" w:lineRule="exact"/>
              <w:jc w:val="center"/>
              <w:rPr>
                <w:rFonts w:ascii="仿宋" w:hAnsi="仿宋" w:eastAsia="仿宋" w:cs="仿宋_GB2312"/>
                <w:bCs/>
                <w:color w:val="auto"/>
                <w:kern w:val="0"/>
                <w:sz w:val="18"/>
                <w:szCs w:val="18"/>
              </w:rPr>
            </w:pPr>
          </w:p>
        </w:tc>
        <w:tc>
          <w:tcPr>
            <w:tcW w:w="1054" w:type="dxa"/>
            <w:vAlign w:val="center"/>
          </w:tcPr>
          <w:p>
            <w:pPr>
              <w:spacing w:line="600" w:lineRule="exact"/>
              <w:jc w:val="center"/>
              <w:rPr>
                <w:rFonts w:ascii="仿宋" w:hAnsi="仿宋" w:eastAsia="仿宋" w:cs="仿宋_GB2312"/>
                <w:bCs/>
                <w:color w:val="auto"/>
                <w:kern w:val="0"/>
                <w:sz w:val="18"/>
                <w:szCs w:val="18"/>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p>
        </w:tc>
        <w:tc>
          <w:tcPr>
            <w:tcW w:w="850" w:type="dxa"/>
            <w:vAlign w:val="center"/>
          </w:tcPr>
          <w:p>
            <w:pPr>
              <w:spacing w:line="600" w:lineRule="exact"/>
              <w:jc w:val="center"/>
              <w:rPr>
                <w:rFonts w:ascii="仿宋" w:hAnsi="仿宋" w:eastAsia="仿宋" w:cs="仿宋_GB2312"/>
                <w:bCs/>
                <w:color w:val="auto"/>
                <w:kern w:val="0"/>
                <w:sz w:val="18"/>
                <w:szCs w:val="18"/>
              </w:rPr>
            </w:pPr>
          </w:p>
        </w:tc>
        <w:tc>
          <w:tcPr>
            <w:tcW w:w="1054" w:type="dxa"/>
            <w:vAlign w:val="center"/>
          </w:tcPr>
          <w:p>
            <w:pPr>
              <w:spacing w:line="600" w:lineRule="exact"/>
              <w:jc w:val="center"/>
              <w:rPr>
                <w:rFonts w:ascii="仿宋" w:hAnsi="仿宋" w:eastAsia="仿宋" w:cs="仿宋_GB2312"/>
                <w:bCs/>
                <w:color w:val="auto"/>
                <w:kern w:val="0"/>
                <w:sz w:val="18"/>
                <w:szCs w:val="18"/>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pPr>
              <w:spacing w:line="600" w:lineRule="exact"/>
              <w:jc w:val="center"/>
              <w:rPr>
                <w:rFonts w:ascii="仿宋" w:hAnsi="仿宋" w:eastAsia="仿宋" w:cs="仿宋_GB2312"/>
                <w:bCs/>
                <w:color w:val="auto"/>
                <w:kern w:val="0"/>
                <w:sz w:val="18"/>
                <w:szCs w:val="18"/>
              </w:rPr>
            </w:pPr>
          </w:p>
        </w:tc>
        <w:tc>
          <w:tcPr>
            <w:tcW w:w="850" w:type="dxa"/>
            <w:vAlign w:val="center"/>
          </w:tcPr>
          <w:p>
            <w:pPr>
              <w:spacing w:line="600" w:lineRule="exact"/>
              <w:jc w:val="center"/>
              <w:rPr>
                <w:rFonts w:ascii="仿宋" w:hAnsi="仿宋" w:eastAsia="仿宋" w:cs="仿宋_GB2312"/>
                <w:bCs/>
                <w:color w:val="auto"/>
                <w:kern w:val="0"/>
                <w:sz w:val="18"/>
                <w:szCs w:val="18"/>
              </w:rPr>
            </w:pPr>
          </w:p>
        </w:tc>
        <w:tc>
          <w:tcPr>
            <w:tcW w:w="1054" w:type="dxa"/>
            <w:vAlign w:val="center"/>
          </w:tcPr>
          <w:p>
            <w:pPr>
              <w:spacing w:line="600" w:lineRule="exact"/>
              <w:jc w:val="center"/>
              <w:rPr>
                <w:rFonts w:ascii="仿宋" w:hAnsi="仿宋" w:eastAsia="仿宋" w:cs="仿宋_GB2312"/>
                <w:bCs/>
                <w:color w:val="auto"/>
                <w:kern w:val="0"/>
                <w:sz w:val="18"/>
                <w:szCs w:val="18"/>
              </w:rPr>
            </w:pPr>
          </w:p>
        </w:tc>
        <w:tc>
          <w:tcPr>
            <w:tcW w:w="890" w:type="dxa"/>
            <w:vAlign w:val="center"/>
          </w:tcPr>
          <w:p>
            <w:pPr>
              <w:widowControl/>
              <w:spacing w:line="280" w:lineRule="exact"/>
              <w:jc w:val="center"/>
              <w:rPr>
                <w:rFonts w:ascii="仿宋_GB2312" w:hAnsi="宋体" w:eastAsia="仿宋_GB2312" w:cs="宋体"/>
                <w:bCs/>
                <w:color w:val="auto"/>
                <w:kern w:val="0"/>
                <w:sz w:val="18"/>
                <w:szCs w:val="18"/>
              </w:rPr>
            </w:pPr>
          </w:p>
        </w:tc>
        <w:tc>
          <w:tcPr>
            <w:tcW w:w="901" w:type="dxa"/>
            <w:vAlign w:val="center"/>
          </w:tcPr>
          <w:p>
            <w:pPr>
              <w:widowControl/>
              <w:spacing w:line="280" w:lineRule="exact"/>
              <w:jc w:val="center"/>
              <w:rPr>
                <w:rFonts w:ascii="仿宋_GB2312" w:hAnsi="宋体" w:eastAsia="仿宋_GB2312" w:cs="宋体"/>
                <w:bCs/>
                <w:color w:val="auto"/>
                <w:kern w:val="0"/>
                <w:sz w:val="18"/>
                <w:szCs w:val="18"/>
              </w:rPr>
            </w:pPr>
          </w:p>
        </w:tc>
        <w:tc>
          <w:tcPr>
            <w:tcW w:w="1024" w:type="dxa"/>
            <w:vAlign w:val="center"/>
          </w:tcPr>
          <w:p>
            <w:pPr>
              <w:spacing w:line="600" w:lineRule="exact"/>
              <w:jc w:val="center"/>
              <w:rPr>
                <w:rFonts w:ascii="仿宋" w:hAnsi="仿宋" w:eastAsia="仿宋" w:cs="仿宋_GB2312"/>
                <w:bCs/>
                <w:color w:val="auto"/>
                <w:kern w:val="0"/>
                <w:sz w:val="18"/>
                <w:szCs w:val="18"/>
              </w:rPr>
            </w:pPr>
          </w:p>
        </w:tc>
        <w:tc>
          <w:tcPr>
            <w:tcW w:w="797" w:type="dxa"/>
            <w:vAlign w:val="center"/>
          </w:tcPr>
          <w:p>
            <w:pPr>
              <w:spacing w:line="600" w:lineRule="exact"/>
              <w:jc w:val="center"/>
              <w:rPr>
                <w:rFonts w:ascii="仿宋" w:hAnsi="仿宋" w:eastAsia="仿宋" w:cs="仿宋_GB2312"/>
                <w:bCs/>
                <w:color w:val="auto"/>
                <w:kern w:val="0"/>
                <w:sz w:val="18"/>
                <w:szCs w:val="18"/>
              </w:rPr>
            </w:pPr>
          </w:p>
        </w:tc>
        <w:tc>
          <w:tcPr>
            <w:tcW w:w="813" w:type="dxa"/>
            <w:vAlign w:val="center"/>
          </w:tcPr>
          <w:p>
            <w:pPr>
              <w:spacing w:line="600" w:lineRule="exact"/>
              <w:jc w:val="center"/>
              <w:rPr>
                <w:rFonts w:ascii="仿宋" w:hAnsi="仿宋" w:eastAsia="仿宋" w:cs="仿宋_GB2312"/>
                <w:bCs/>
                <w:color w:val="auto"/>
                <w:kern w:val="0"/>
                <w:sz w:val="18"/>
                <w:szCs w:val="18"/>
              </w:rPr>
            </w:pPr>
          </w:p>
        </w:tc>
        <w:tc>
          <w:tcPr>
            <w:tcW w:w="791" w:type="dxa"/>
            <w:vAlign w:val="center"/>
          </w:tcPr>
          <w:p>
            <w:pPr>
              <w:spacing w:line="600" w:lineRule="exact"/>
              <w:jc w:val="center"/>
              <w:rPr>
                <w:rFonts w:ascii="仿宋" w:hAnsi="仿宋" w:eastAsia="仿宋" w:cs="仿宋_GB2312"/>
                <w:bCs/>
                <w:color w:val="auto"/>
                <w:kern w:val="0"/>
                <w:sz w:val="18"/>
                <w:szCs w:val="18"/>
              </w:rPr>
            </w:pPr>
          </w:p>
        </w:tc>
        <w:tc>
          <w:tcPr>
            <w:tcW w:w="1211" w:type="dxa"/>
            <w:vAlign w:val="center"/>
          </w:tcPr>
          <w:p>
            <w:pPr>
              <w:spacing w:line="600" w:lineRule="exact"/>
              <w:jc w:val="center"/>
              <w:rPr>
                <w:rFonts w:ascii="仿宋" w:hAnsi="仿宋" w:eastAsia="仿宋" w:cs="仿宋_GB2312"/>
                <w:bCs/>
                <w:color w:val="auto"/>
                <w:kern w:val="0"/>
                <w:sz w:val="18"/>
                <w:szCs w:val="18"/>
              </w:rPr>
            </w:pPr>
          </w:p>
        </w:tc>
      </w:tr>
    </w:tbl>
    <w:p>
      <w:pPr>
        <w:widowControl/>
        <w:outlineLvl w:val="1"/>
        <w:rPr>
          <w:rFonts w:ascii="仿宋_GB2312" w:hAnsi="宋体" w:eastAsia="仿宋_GB2312"/>
          <w:b/>
          <w:color w:val="auto"/>
          <w:kern w:val="0"/>
          <w:sz w:val="18"/>
          <w:szCs w:val="18"/>
        </w:rPr>
      </w:pPr>
      <w:r>
        <w:rPr>
          <w:rFonts w:hint="eastAsia" w:ascii="仿宋_GB2312" w:hAnsi="宋体" w:eastAsia="仿宋_GB2312"/>
          <w:b/>
          <w:color w:val="auto"/>
          <w:kern w:val="0"/>
          <w:sz w:val="28"/>
          <w:szCs w:val="32"/>
        </w:rPr>
        <w:t>备注：托克逊县医疗保障事业发展中心2024年无上年结转结余预算的支出，结转结余预算支出情况表为空表。</w:t>
      </w:r>
    </w:p>
    <w:p>
      <w:pPr>
        <w:widowControl/>
        <w:jc w:val="left"/>
        <w:outlineLvl w:val="1"/>
        <w:rPr>
          <w:rFonts w:ascii="仿宋_GB2312" w:hAnsi="宋体" w:eastAsia="仿宋_GB2312"/>
          <w:color w:val="auto"/>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spacing w:line="560" w:lineRule="exact"/>
        <w:jc w:val="center"/>
        <w:rPr>
          <w:rFonts w:ascii="黑体" w:hAnsi="黑体" w:eastAsia="黑体"/>
          <w:color w:val="auto"/>
          <w:kern w:val="0"/>
          <w:sz w:val="32"/>
          <w:szCs w:val="32"/>
        </w:rPr>
      </w:pPr>
      <w:r>
        <w:rPr>
          <w:rFonts w:hint="eastAsia" w:ascii="黑体" w:hAnsi="黑体" w:eastAsia="黑体"/>
          <w:color w:val="auto"/>
          <w:kern w:val="0"/>
          <w:sz w:val="32"/>
          <w:szCs w:val="32"/>
        </w:rPr>
        <w:t>第三部分2024年单位预算情况说明</w:t>
      </w:r>
    </w:p>
    <w:p>
      <w:pPr>
        <w:spacing w:line="560" w:lineRule="exact"/>
        <w:jc w:val="center"/>
        <w:rPr>
          <w:rFonts w:ascii="楷体_GB2312" w:hAnsi="楷体_GB2312" w:eastAsia="楷体_GB2312"/>
          <w:color w:val="auto"/>
          <w:kern w:val="0"/>
          <w:sz w:val="32"/>
          <w:szCs w:val="32"/>
        </w:rPr>
      </w:pP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bCs/>
          <w:color w:val="auto"/>
          <w:kern w:val="0"/>
          <w:sz w:val="32"/>
          <w:szCs w:val="32"/>
        </w:rPr>
        <w:t>一、</w:t>
      </w:r>
      <w:r>
        <w:rPr>
          <w:rFonts w:hint="eastAsia" w:ascii="楷体_GB2312" w:hAnsi="楷体_GB2312" w:eastAsia="楷体_GB2312" w:cs="楷体_GB2312"/>
          <w:b/>
          <w:color w:val="auto"/>
          <w:kern w:val="0"/>
          <w:sz w:val="32"/>
          <w:szCs w:val="32"/>
        </w:rPr>
        <w:t>关于托克逊县医疗保障事业发展中心单位2024年收支预算情况的总体说明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按照全口径预算的原则，托克逊县医疗保障事业发展中心单位2024年所有收入和支出均纳入单位预算管理。收支总预算230.08万元。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支出预算包括：社会保障和就业支出、卫生健康支出、住房保障支出。</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二、关于托克逊县医疗保障事业发展中心单位2024年收入预算情况说明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托克逊县医疗保障事业发展中心单位收入预算230.08万元，其中：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一般公共预算230.08万元，占100.00%，比上年预算减少43.12万元，下降15.78%，主要原因是人身意外伤害保险县级补助项目资金</w:t>
      </w:r>
      <w:r>
        <w:rPr>
          <w:rFonts w:hint="eastAsia" w:ascii="仿宋_GB2312" w:hAnsi="宋体" w:eastAsia="仿宋_GB2312" w:cs="宋体"/>
          <w:color w:val="auto"/>
          <w:kern w:val="0"/>
          <w:sz w:val="32"/>
          <w:szCs w:val="32"/>
          <w:lang w:val="en-US" w:eastAsia="zh-CN"/>
        </w:rPr>
        <w:t>减少</w:t>
      </w:r>
      <w:r>
        <w:rPr>
          <w:rFonts w:hint="eastAsia" w:ascii="仿宋_GB2312" w:hAnsi="宋体" w:eastAsia="仿宋_GB2312" w:cs="宋体"/>
          <w:color w:val="auto"/>
          <w:kern w:val="0"/>
          <w:sz w:val="32"/>
          <w:szCs w:val="32"/>
        </w:rPr>
        <w:t>，因此一般公共预算较上年下降；</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上级一般公共预算安排的转移支付资金未安排。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政府性基金预算未安排。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上级政府性基金安排的转移支付资金未安排。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国有资本经营预算未安排。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上级国有资本经营预算安排的转移支付资金未安排。</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单位资金0.00万元，占0.00%，比上年预算减少4.94万元，下降100.00%，主要原因是2024年工会经费未安排预算，因此单位资金较上年减少；</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三、关于托克逊县医疗保障事业发展中心单位2024年支出预算情况说明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托克逊县医疗保障事业发展中心单位2024年支出预算230.08万元，其中：</w:t>
      </w:r>
    </w:p>
    <w:p>
      <w:pPr>
        <w:spacing w:line="560" w:lineRule="exact"/>
        <w:ind w:firstLine="640" w:firstLineChars="200"/>
        <w:rPr>
          <w:rFonts w:ascii="仿宋_GB2312" w:hAnsi="宋体" w:eastAsia="仿宋_GB2312" w:cs="宋体"/>
          <w:b/>
          <w:color w:val="auto"/>
          <w:kern w:val="0"/>
          <w:sz w:val="32"/>
          <w:szCs w:val="32"/>
        </w:rPr>
      </w:pPr>
      <w:r>
        <w:rPr>
          <w:rFonts w:hint="eastAsia" w:ascii="仿宋_GB2312" w:hAnsi="宋体" w:eastAsia="仿宋_GB2312" w:cs="宋体"/>
          <w:color w:val="auto"/>
          <w:kern w:val="0"/>
          <w:sz w:val="32"/>
          <w:szCs w:val="32"/>
        </w:rPr>
        <w:t>基本支出210.08万元，占91.31%，比上年预算减少18.12万元，下降7.94%，主要原因是在职人员减少，</w:t>
      </w:r>
      <w:r>
        <w:rPr>
          <w:rFonts w:hint="eastAsia" w:ascii="仿宋_GB2312" w:hAnsi="宋体" w:eastAsia="仿宋_GB2312" w:cs="宋体"/>
          <w:color w:val="auto"/>
          <w:kern w:val="0"/>
          <w:sz w:val="32"/>
          <w:szCs w:val="32"/>
          <w:lang w:val="en-US" w:eastAsia="zh-CN"/>
        </w:rPr>
        <w:t>人员工资、社保减少</w:t>
      </w:r>
      <w:r>
        <w:rPr>
          <w:rFonts w:hint="eastAsia" w:ascii="仿宋_GB2312" w:hAnsi="宋体" w:eastAsia="仿宋_GB2312" w:cs="宋体"/>
          <w:color w:val="auto"/>
          <w:kern w:val="0"/>
          <w:sz w:val="32"/>
          <w:szCs w:val="32"/>
          <w:lang w:eastAsia="zh-CN"/>
        </w:rPr>
        <w:t>，</w:t>
      </w:r>
      <w:r>
        <w:rPr>
          <w:rFonts w:hint="eastAsia" w:ascii="仿宋_GB2312" w:hAnsi="宋体" w:eastAsia="仿宋_GB2312" w:cs="宋体"/>
          <w:color w:val="auto"/>
          <w:kern w:val="0"/>
          <w:sz w:val="32"/>
          <w:szCs w:val="32"/>
        </w:rPr>
        <w:t>因此预算比上年度减少。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项目支出20.00万元，占8.69%，比上年预算减少29.94万元，下降59.95%，主要原因是人身意外伤害保险县级补助项目资金</w:t>
      </w:r>
      <w:r>
        <w:rPr>
          <w:rFonts w:hint="eastAsia" w:ascii="仿宋_GB2312" w:hAnsi="宋体" w:eastAsia="仿宋_GB2312" w:cs="宋体"/>
          <w:color w:val="auto"/>
          <w:kern w:val="0"/>
          <w:sz w:val="32"/>
          <w:szCs w:val="32"/>
          <w:lang w:val="en-US" w:eastAsia="zh-CN"/>
        </w:rPr>
        <w:t>减少</w:t>
      </w:r>
      <w:r>
        <w:rPr>
          <w:rFonts w:hint="eastAsia" w:ascii="仿宋_GB2312" w:hAnsi="宋体" w:eastAsia="仿宋_GB2312" w:cs="宋体"/>
          <w:color w:val="auto"/>
          <w:kern w:val="0"/>
          <w:sz w:val="32"/>
          <w:szCs w:val="32"/>
        </w:rPr>
        <w:t>。</w:t>
      </w:r>
    </w:p>
    <w:p>
      <w:pPr>
        <w:spacing w:line="560" w:lineRule="exact"/>
        <w:ind w:firstLine="643" w:firstLineChars="200"/>
        <w:rPr>
          <w:rFonts w:ascii="楷体_GB2312" w:hAnsi="楷体_GB2312" w:eastAsia="楷体_GB2312" w:cs="楷体_GB2312"/>
          <w:b/>
          <w:bCs/>
          <w:color w:val="auto"/>
          <w:kern w:val="0"/>
          <w:sz w:val="32"/>
          <w:szCs w:val="32"/>
        </w:rPr>
      </w:pPr>
      <w:r>
        <w:rPr>
          <w:rFonts w:hint="eastAsia" w:ascii="楷体_GB2312" w:hAnsi="楷体_GB2312" w:eastAsia="楷体_GB2312" w:cs="楷体_GB2312"/>
          <w:b/>
          <w:bCs/>
          <w:color w:val="auto"/>
          <w:kern w:val="0"/>
          <w:sz w:val="32"/>
          <w:szCs w:val="32"/>
        </w:rPr>
        <w:t>四、关于托克逊县医疗保障事业发展中心单位2024年财政拨款收支预算情况的总体说明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2024年财政拨款收支总预算230.08万元。</w:t>
      </w:r>
    </w:p>
    <w:p>
      <w:pPr>
        <w:spacing w:line="560" w:lineRule="exact"/>
        <w:ind w:firstLine="616" w:firstLineChars="200"/>
        <w:rPr>
          <w:rFonts w:ascii="仿宋_GB2312" w:hAnsi="宋体" w:eastAsia="仿宋_GB2312" w:cs="宋体"/>
          <w:b/>
          <w:color w:val="auto"/>
          <w:spacing w:val="-6"/>
          <w:kern w:val="0"/>
          <w:sz w:val="32"/>
          <w:szCs w:val="32"/>
        </w:rPr>
      </w:pPr>
      <w:r>
        <w:rPr>
          <w:rFonts w:hint="eastAsia" w:ascii="仿宋_GB2312" w:hAnsi="宋体" w:eastAsia="仿宋_GB2312" w:cs="宋体"/>
          <w:color w:val="auto"/>
          <w:spacing w:val="-6"/>
          <w:kern w:val="0"/>
          <w:sz w:val="32"/>
          <w:szCs w:val="32"/>
        </w:rPr>
        <w:t>收入全部为一般公共预算拨款，无政府性基金预算拨款和国有资本经营预算。</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收入预算包括：一般公共预算拨款230.08万元。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一般公共预算支出包括：社会保障和就业支出21.85万元，主要用于单位人员社保缴费支出;卫生健康支出190.76万元，主要用于保障单位正常运行的人员经费、公用经费支出及单位人员医疗保险缴费支出;住房保障支出17.47万元，主要用于单位人员住房公积金缴费支出。</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五、关于托克逊县医疗保障事业发展中心单位2024年一般公共预算当年拨款情况说明</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（一）一般公共预算当年拨款规模变化情况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托克逊县医疗保障事业发展中心单位2024年一般公共预算拨款合计230.08万元，其中：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基本支出210.08万元，比上年预算减少18.12万元，下降7.94%。主要原因是：在职人员减少，</w:t>
      </w:r>
      <w:r>
        <w:rPr>
          <w:rFonts w:hint="eastAsia" w:ascii="仿宋_GB2312" w:eastAsia="仿宋_GB2312"/>
          <w:color w:val="auto"/>
          <w:sz w:val="32"/>
          <w:szCs w:val="32"/>
          <w:lang w:val="en-US" w:eastAsia="zh-CN"/>
        </w:rPr>
        <w:t>人员工资、社保、公积金减少、</w:t>
      </w:r>
      <w:r>
        <w:rPr>
          <w:rFonts w:hint="eastAsia" w:ascii="仿宋_GB2312" w:eastAsia="仿宋_GB2312"/>
          <w:color w:val="auto"/>
          <w:sz w:val="32"/>
          <w:szCs w:val="32"/>
        </w:rPr>
        <w:t>因此预算比上年度减少。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项目支出20.00万元，比上年预算减少25.00万元，下降55.56%。主要原因是：2023年项目预算里人身意外伤害保险项目资金，今年预算级次调整，由县财政做预算，因此预算较上年下降。</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（二）一般公共预算当年拨款结构情况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1.社会保障和就业支出（类）21.85万元，占9.50%。</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2.卫生健康支出（类）190.76万元，占82.91%。</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eastAsia="仿宋_GB2312"/>
          <w:color w:val="auto"/>
          <w:sz w:val="32"/>
          <w:szCs w:val="32"/>
        </w:rPr>
        <w:t>3.住房保障支出（类）17.47万元，占7.59%。</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（三）一般公共预算当年拨款具体使用情况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社会保障和就业支出（类）行政事业单位养老支出（款）机关事业单位基本养老保险缴费支出（项）：2024年预算数为21.85万元，比上年预算减少0.47万元，下降2.11%，主要原因是：在职人员减少，因此事业单位养老保险缴费支出预算比上年度下降。</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卫生健康支出（类）行政事业单位医疗（款）事业单位医疗（项）：2024年预算数为9.28万元，比上年预算减少15.20万元，下降62.09%，主要原因是：在职人员减少，人员岗位调整，调出人员职级较高，新进人员职级较低，因此导致事业单位医疗预算较上年下降。</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卫生健康支出（类）行政事业单位医疗（款）公务员医疗补助（项）：2024年预算数为0.19万元，比上年预算减少0.17万元，下降47.22%，主要原因是：在职人员减少，人员岗位调整，调出人员职级较高，新进人员职级较低，因此单位公务员医疗补助支出预算比上年度下降。</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4.卫生健康支出（类）医疗保障管理事务（款）事业运行（项）：2024年预算数为181.29万元，比上年预算增加14.07万元，增长8.41%，主要原因是：人员工资</w:t>
      </w:r>
      <w:r>
        <w:rPr>
          <w:rFonts w:hint="eastAsia" w:ascii="仿宋_GB2312" w:hAnsi="宋体" w:eastAsia="仿宋_GB2312" w:cs="宋体"/>
          <w:color w:val="auto"/>
          <w:kern w:val="0"/>
          <w:sz w:val="32"/>
          <w:szCs w:val="32"/>
          <w:lang w:val="en-US" w:eastAsia="zh-CN"/>
        </w:rPr>
        <w:t>及公用经费增长，</w:t>
      </w:r>
      <w:r>
        <w:rPr>
          <w:rFonts w:hint="eastAsia" w:ascii="仿宋_GB2312" w:hAnsi="宋体" w:eastAsia="仿宋_GB2312" w:cs="宋体"/>
          <w:color w:val="auto"/>
          <w:kern w:val="0"/>
          <w:sz w:val="32"/>
          <w:szCs w:val="32"/>
        </w:rPr>
        <w:t>因此事业运行项比上年预算数有所增加。</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5.住房保障支出（类）住房改革支出（款）住房公积金（项）：2024年预算数为17.47万元，比上年预算减少0.19万元，下降1.08%，主要原因是：在职人员减少，人员岗位调整，调出人员职级较高，新进人员职级较低，因此单位住房公积金支出预算比上年度下降。</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6.社会保障和就业支出（类）行政事业单位养老支出（款）机关事业单位职业年金缴费支出（项）：2024年预算数为0.00万元，比上年预算减少11.16万元，下降100.00%，主要原因是：本年机关事业单位职业年金缴费支出统一纳入财政代列资金，不单独安排此预算。</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7.卫生健康支出（类）医疗救助（款）其他医疗救助支出（项）：2024年预算数为0.00万元，比上年预算减少30.00万元，下降100.00%，主要原因是：2023年项目预算里有人身意外伤害保险项目资金30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万元，当年上解19.5</w:t>
      </w:r>
      <w:r>
        <w:rPr>
          <w:rFonts w:hint="eastAsia" w:ascii="仿宋_GB2312" w:hAnsi="宋体" w:eastAsia="仿宋_GB2312" w:cs="宋体"/>
          <w:color w:val="auto"/>
          <w:kern w:val="0"/>
          <w:sz w:val="32"/>
          <w:szCs w:val="32"/>
          <w:lang w:val="en-US" w:eastAsia="zh-CN"/>
        </w:rPr>
        <w:t>0</w:t>
      </w:r>
      <w:r>
        <w:rPr>
          <w:rFonts w:hint="eastAsia" w:ascii="仿宋_GB2312" w:hAnsi="宋体" w:eastAsia="仿宋_GB2312" w:cs="宋体"/>
          <w:color w:val="auto"/>
          <w:kern w:val="0"/>
          <w:sz w:val="32"/>
          <w:szCs w:val="32"/>
        </w:rPr>
        <w:t>万元，今年预算级次调整，由县财政安排预算，因此预算较上年下降。</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六、关于托克逊县医疗保障事业发展中心单位2024年一般公共预算基本支出情况说明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托克逊县医疗保障事业发展中心单位2024年一般公共预算基本支出210.08万元，其中：</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人员经费196.21万元，主要包括：基本工资、津贴补贴、奖金、绩效工资、机关事业单位基本养老保险缴费、职工基本医疗保险缴费、公务员医疗补助缴费、其他社会保障缴费、住房公积金。</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公用经费13.87万元，主要包括：办公费、印刷费、邮电费、差旅费、维修（护）费、培训费、工会经费、其他交通费用、其他商品和服务支出。</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七、关于托克逊县医疗保障事业发展中心单位2024年一般公共预算项目支出情况说明</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（一）项目名称：离休人员医疗费</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设立的政策依据：2024年纳入年初预算（县级项目）</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预算安排规模：20.00万元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项目承担单位：托克逊县医疗保障事业发展中心</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资金分配情况：用于支付4名离休人员医疗费，以实际报销为主。</w:t>
      </w:r>
    </w:p>
    <w:p>
      <w:pPr>
        <w:spacing w:line="560" w:lineRule="exact"/>
        <w:ind w:firstLine="640" w:firstLineChars="200"/>
        <w:rPr>
          <w:rFonts w:ascii="仿宋_GB2312" w:hAnsi="黑体" w:eastAsia="仿宋_GB2312"/>
          <w:color w:val="auto"/>
          <w:sz w:val="32"/>
          <w:szCs w:val="32"/>
        </w:rPr>
      </w:pPr>
      <w:r>
        <w:rPr>
          <w:rFonts w:ascii="仿宋_GB2312" w:hAnsi="黑体" w:eastAsia="仿宋_GB2312"/>
          <w:color w:val="auto"/>
          <w:sz w:val="32"/>
          <w:szCs w:val="32"/>
        </w:rPr>
        <w:t>资金执行时间：2024年1月1日-2024年12月31日</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八、关于托克逊县医疗保障事业发展中心单位2024年政府性基金预算拨款情况说明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托克逊县医疗保障事业发展中心2024年没有使用政府性基金预算拨款安排的支出，政府性基金预算支出情况表为空表。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九、关于托克逊县医疗保障事业发展中心单位2024年国有资本经营预算拨款情况说明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托克逊县医疗保障事业发展中心2024年没有使用国有资本经营预算拨款安排的支出，国有资本经营预算支出情况表为空表。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十、关于托克逊县医疗保障事业发展中心单位2024年财政拨款“三公”经费预算情况说明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托克逊县医疗保障事业发展中心单位2024年财政拨款“三公”经费数为0.00万元，其中：因公出国（境）费0.00万元，公务用车购置费0.00万元，公务用车运行费0.00万元，公务接待费0.00万元。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财政拨款“三公”经费比上年预算减少0.00万元，下降0.00%，其中：因公出国（境）费减少0.00万元，下降0.00%，主要原因是2023与2024年均未安排因公出国(境)费；公务用车购置费减少0.00万元，下降0.00%，主要原因是2023年与2024年均未安排公务用车购置费；公务用车运行费减少0.00万元，下降0.00%，主要原因是2023年与2024年均未安排公务用车运行费；公务接待费减少0.00万元，下降0.00%，主要原因是2023年与2024年均未安排公务接待费。</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十一、关于托克逊县医疗保障事业发展中心单位2024年上年结转结余预算情况说明</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托克逊县医疗保障事业发展中心单位2024年无上年结转结余预算的支出，结转结余预算支出情况表为空表。</w:t>
      </w:r>
    </w:p>
    <w:p>
      <w:pPr>
        <w:spacing w:line="560" w:lineRule="exact"/>
        <w:ind w:firstLine="643" w:firstLineChars="200"/>
        <w:rPr>
          <w:rFonts w:ascii="楷体_GB2312" w:hAnsi="楷体_GB2312" w:eastAsia="楷体_GB2312" w:cs="楷体_GB2312"/>
          <w:b/>
          <w:color w:val="auto"/>
          <w:kern w:val="0"/>
          <w:sz w:val="32"/>
          <w:szCs w:val="32"/>
        </w:rPr>
      </w:pPr>
      <w:r>
        <w:rPr>
          <w:rFonts w:hint="eastAsia" w:ascii="楷体_GB2312" w:hAnsi="楷体_GB2312" w:eastAsia="楷体_GB2312" w:cs="楷体_GB2312"/>
          <w:b/>
          <w:color w:val="auto"/>
          <w:kern w:val="0"/>
          <w:sz w:val="32"/>
          <w:szCs w:val="32"/>
        </w:rPr>
        <w:t>十二、其他重要事项的情况说明</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（一）单位运行经费情况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托克逊县医疗保障事业发展中心单位2024年的事业单位运行经费财政拨款预算13.87万元，比上年预算减少4.27万元，下降23.54%。主要原因是2023年6月中旬减少1人，因此年初人员经费等预算有所下降。</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（二）政府采购情况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2024年，托克逊县医疗保障事业发展中心单位政府采购预算6.47万元，其中：政府采购货物预算6.47万元，政府采购工程预算0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万元，政府采购服务预算0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仿宋_GB2312" w:eastAsia="仿宋_GB2312"/>
          <w:color w:val="auto"/>
          <w:sz w:val="32"/>
        </w:rPr>
        <w:t>2024年，托克逊县医疗保障事业发展中心单位面向中小企业预留政府采购项目预算金额6.47万元，小微企业预留政府采购项目预算金额6.47万元。</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（三）国有资产占用使用情况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截至2023年底，托克逊县医疗保障事业发展中心单位及下属各预算单位占用使用国有资产总体情况为：</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1.房屋0平方米，价值0万元。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2.车辆0辆，价值0万元；其中：一般公务用车0辆，价值0万元；执法执勤用车0辆，价值0万元；其他车辆0辆，价值0万元。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3.办公家具价值3.48万元。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4.其他资产价值5.61万元。</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单位价值50万元以上大型设备0台，单位价值100万元以上大型设备0台。</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2024年单位预算未安排购置车辆经费，安排购置50万元以上大型设备0台，单位价值100万元以上大型设备0台。</w:t>
      </w:r>
    </w:p>
    <w:p>
      <w:pPr>
        <w:spacing w:line="560" w:lineRule="exact"/>
        <w:ind w:firstLine="643" w:firstLineChars="200"/>
        <w:rPr>
          <w:rFonts w:ascii="仿宋_GB2312" w:hAnsi="仿宋_GB2312" w:eastAsia="仿宋_GB2312" w:cs="仿宋_GB2312"/>
          <w:b/>
          <w:color w:val="auto"/>
          <w:kern w:val="0"/>
          <w:sz w:val="32"/>
          <w:szCs w:val="32"/>
        </w:rPr>
      </w:pPr>
      <w:r>
        <w:rPr>
          <w:rFonts w:hint="eastAsia" w:ascii="仿宋_GB2312" w:hAnsi="仿宋_GB2312" w:eastAsia="仿宋_GB2312" w:cs="仿宋_GB2312"/>
          <w:b/>
          <w:color w:val="auto"/>
          <w:kern w:val="0"/>
          <w:sz w:val="32"/>
          <w:szCs w:val="32"/>
        </w:rPr>
        <w:t>（四）预算绩效情况</w:t>
      </w:r>
    </w:p>
    <w:p>
      <w:pPr>
        <w:spacing w:line="560" w:lineRule="exact"/>
        <w:ind w:firstLine="640" w:firstLineChars="200"/>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2024年，本单位预算绩效管理整体预算绩效目标1个，涉及金额</w:t>
      </w:r>
      <w:r>
        <w:rPr>
          <w:rFonts w:ascii="仿宋_GB2312" w:hAnsi="宋体" w:eastAsia="仿宋_GB2312" w:cs="宋体"/>
          <w:color w:val="auto"/>
          <w:kern w:val="0"/>
          <w:sz w:val="32"/>
          <w:szCs w:val="32"/>
        </w:rPr>
        <w:t>230.07</w:t>
      </w:r>
      <w:r>
        <w:rPr>
          <w:rFonts w:hint="eastAsia" w:ascii="仿宋_GB2312" w:hAnsi="宋体" w:eastAsia="仿宋_GB2312" w:cs="宋体"/>
          <w:color w:val="auto"/>
          <w:kern w:val="0"/>
          <w:sz w:val="32"/>
          <w:szCs w:val="32"/>
        </w:rPr>
        <w:t>万元；当年财政拨款项目1个，涉及预算金额20.00万元；当年非财政拨款项目0个，涉及预算金额0</w:t>
      </w:r>
      <w:r>
        <w:rPr>
          <w:rFonts w:hint="eastAsia" w:ascii="仿宋_GB2312" w:hAnsi="黑体" w:eastAsia="仿宋_GB2312"/>
          <w:color w:val="auto"/>
          <w:sz w:val="32"/>
          <w:szCs w:val="32"/>
          <w:lang w:val="en-US" w:eastAsia="zh-CN"/>
        </w:rPr>
        <w:t>.00</w:t>
      </w:r>
      <w:r>
        <w:rPr>
          <w:rFonts w:hint="eastAsia" w:ascii="仿宋_GB2312" w:hAnsi="宋体" w:eastAsia="仿宋_GB2312" w:cs="宋体"/>
          <w:color w:val="auto"/>
          <w:kern w:val="0"/>
          <w:sz w:val="32"/>
          <w:szCs w:val="32"/>
        </w:rPr>
        <w:t>万元。具体情况见下表：</w:t>
      </w:r>
    </w:p>
    <w:p>
      <w:pPr>
        <w:widowControl/>
        <w:spacing w:line="600" w:lineRule="exact"/>
        <w:rPr>
          <w:rFonts w:ascii="仿宋_GB2312" w:hAnsi="宋体" w:eastAsia="仿宋_GB2312" w:cs="宋体"/>
          <w:color w:val="auto"/>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821" w:type="dxa"/>
        <w:jc w:val="center"/>
        <w:tblLayout w:type="autofit"/>
        <w:tblCellMar>
          <w:top w:w="0" w:type="dxa"/>
          <w:left w:w="108" w:type="dxa"/>
          <w:bottom w:w="0" w:type="dxa"/>
          <w:right w:w="108" w:type="dxa"/>
        </w:tblCellMar>
      </w:tblPr>
      <w:tblGrid>
        <w:gridCol w:w="1084"/>
        <w:gridCol w:w="1375"/>
        <w:gridCol w:w="2867"/>
        <w:gridCol w:w="1128"/>
        <w:gridCol w:w="2051"/>
        <w:gridCol w:w="1316"/>
      </w:tblGrid>
      <w:tr>
        <w:tblPrEx>
          <w:tblCellMar>
            <w:top w:w="0" w:type="dxa"/>
            <w:left w:w="108" w:type="dxa"/>
            <w:bottom w:w="0" w:type="dxa"/>
            <w:right w:w="108" w:type="dxa"/>
          </w:tblCellMar>
        </w:tblPrEx>
        <w:trPr>
          <w:trHeight w:val="874" w:hRule="atLeast"/>
          <w:jc w:val="center"/>
        </w:trPr>
        <w:tc>
          <w:tcPr>
            <w:tcW w:w="9821" w:type="dxa"/>
            <w:gridSpan w:val="6"/>
            <w:tcBorders>
              <w:top w:val="nil"/>
              <w:left w:val="nil"/>
              <w:bottom w:val="nil"/>
              <w:right w:val="nil"/>
            </w:tcBorders>
            <w:shd w:val="clear" w:color="auto" w:fill="auto"/>
            <w:vAlign w:val="center"/>
          </w:tcPr>
          <w:p>
            <w:pPr>
              <w:widowControl/>
              <w:jc w:val="center"/>
              <w:rPr>
                <w:rFonts w:ascii="华文中宋" w:hAnsi="华文中宋" w:eastAsia="华文中宋" w:cs="宋体"/>
                <w:b/>
                <w:bCs/>
                <w:color w:val="auto"/>
                <w:kern w:val="0"/>
                <w:sz w:val="40"/>
                <w:szCs w:val="40"/>
              </w:rPr>
            </w:pPr>
            <w:r>
              <w:rPr>
                <w:rFonts w:hint="eastAsia" w:ascii="仿宋_GB2312" w:hAnsi="宋体" w:eastAsia="仿宋_GB2312" w:cs="仿宋_GB2312"/>
                <w:b/>
                <w:color w:val="auto"/>
                <w:kern w:val="0"/>
                <w:sz w:val="40"/>
                <w:szCs w:val="40"/>
                <w:lang w:bidi="ar"/>
              </w:rPr>
              <w:t>单位整体绩效目标表</w:t>
            </w:r>
          </w:p>
        </w:tc>
      </w:tr>
      <w:tr>
        <w:tblPrEx>
          <w:tblCellMar>
            <w:top w:w="0" w:type="dxa"/>
            <w:left w:w="108" w:type="dxa"/>
            <w:bottom w:w="0" w:type="dxa"/>
            <w:right w:w="108" w:type="dxa"/>
          </w:tblCellMar>
        </w:tblPrEx>
        <w:trPr>
          <w:trHeight w:val="488" w:hRule="atLeast"/>
          <w:jc w:val="center"/>
        </w:trPr>
        <w:tc>
          <w:tcPr>
            <w:tcW w:w="9821" w:type="dxa"/>
            <w:gridSpan w:val="6"/>
            <w:tcBorders>
              <w:top w:val="nil"/>
              <w:left w:val="nil"/>
              <w:bottom w:val="nil"/>
              <w:right w:val="nil"/>
            </w:tcBorders>
            <w:shd w:val="clear" w:color="auto" w:fill="auto"/>
            <w:vAlign w:val="center"/>
          </w:tcPr>
          <w:p>
            <w:pPr>
              <w:widowControl/>
              <w:jc w:val="center"/>
              <w:rPr>
                <w:rFonts w:ascii="宋体" w:hAnsi="宋体" w:cs="宋体"/>
                <w:b/>
                <w:bCs/>
                <w:color w:val="auto"/>
                <w:kern w:val="0"/>
                <w:sz w:val="24"/>
              </w:rPr>
            </w:pPr>
            <w:r>
              <w:rPr>
                <w:rFonts w:hint="eastAsia" w:ascii="宋体" w:hAnsi="宋体" w:cs="宋体"/>
                <w:color w:val="auto"/>
                <w:sz w:val="24"/>
              </w:rPr>
              <w:t>（2024年）</w:t>
            </w:r>
          </w:p>
        </w:tc>
      </w:tr>
      <w:tr>
        <w:tblPrEx>
          <w:tblCellMar>
            <w:top w:w="0" w:type="dxa"/>
            <w:left w:w="108" w:type="dxa"/>
            <w:bottom w:w="0" w:type="dxa"/>
            <w:right w:w="108" w:type="dxa"/>
          </w:tblCellMar>
        </w:tblPrEx>
        <w:trPr>
          <w:trHeight w:val="651" w:hRule="atLeast"/>
          <w:jc w:val="center"/>
        </w:trPr>
        <w:tc>
          <w:tcPr>
            <w:tcW w:w="24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单位名称（盖章）</w:t>
            </w:r>
          </w:p>
        </w:tc>
        <w:tc>
          <w:tcPr>
            <w:tcW w:w="7362"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托克逊县医疗保障事业发展中心</w:t>
            </w:r>
          </w:p>
        </w:tc>
      </w:tr>
      <w:tr>
        <w:tblPrEx>
          <w:tblCellMar>
            <w:top w:w="0" w:type="dxa"/>
            <w:left w:w="108" w:type="dxa"/>
            <w:bottom w:w="0" w:type="dxa"/>
            <w:right w:w="108" w:type="dxa"/>
          </w:tblCellMar>
        </w:tblPrEx>
        <w:trPr>
          <w:trHeight w:val="651" w:hRule="atLeast"/>
          <w:jc w:val="center"/>
        </w:trPr>
        <w:tc>
          <w:tcPr>
            <w:tcW w:w="245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单位联系人</w:t>
            </w:r>
          </w:p>
        </w:tc>
        <w:tc>
          <w:tcPr>
            <w:tcW w:w="3995"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马芬</w:t>
            </w:r>
          </w:p>
        </w:tc>
        <w:tc>
          <w:tcPr>
            <w:tcW w:w="20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15026260003</w:t>
            </w:r>
          </w:p>
        </w:tc>
      </w:tr>
      <w:tr>
        <w:tblPrEx>
          <w:tblCellMar>
            <w:top w:w="0" w:type="dxa"/>
            <w:left w:w="108" w:type="dxa"/>
            <w:bottom w:w="0" w:type="dxa"/>
            <w:right w:w="108" w:type="dxa"/>
          </w:tblCellMar>
        </w:tblPrEx>
        <w:trPr>
          <w:trHeight w:val="1811" w:hRule="atLeast"/>
          <w:jc w:val="center"/>
        </w:trPr>
        <w:tc>
          <w:tcPr>
            <w:tcW w:w="24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年度绩效目标</w:t>
            </w:r>
          </w:p>
        </w:tc>
        <w:tc>
          <w:tcPr>
            <w:tcW w:w="7362" w:type="dxa"/>
            <w:gridSpan w:val="4"/>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1、坚定不移把政治建设摆在首位，坚决捍卫“两个确立”，忠诚践行“两个维护”，始终在思想上政治上行动上同以习近平同志为核心的党中央保持高度一致。</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2、落实“两个确保”，做好新冠病毒肺炎患者医疗费用清算、新冠病毒疫苗及接种费用保障工作，确保救治无忧、接种不愁、防疫减负。</w:t>
            </w:r>
            <w:r>
              <w:rPr>
                <w:rFonts w:hint="eastAsia" w:ascii="宋体" w:hAnsi="宋体" w:cs="宋体"/>
                <w:color w:val="auto"/>
                <w:kern w:val="0"/>
                <w:sz w:val="18"/>
                <w:szCs w:val="18"/>
              </w:rPr>
              <w:br w:type="textWrapping"/>
            </w:r>
            <w:r>
              <w:rPr>
                <w:rFonts w:hint="eastAsia" w:ascii="宋体" w:hAnsi="宋体" w:cs="宋体"/>
                <w:color w:val="auto"/>
                <w:kern w:val="0"/>
                <w:sz w:val="18"/>
                <w:szCs w:val="18"/>
              </w:rPr>
              <w:t>3、协助推动打击欺诈骗保专项工作向纵深开展。</w:t>
            </w:r>
            <w:r>
              <w:rPr>
                <w:rFonts w:hint="eastAsia" w:ascii="宋体" w:hAnsi="宋体" w:cs="宋体"/>
                <w:color w:val="auto"/>
                <w:kern w:val="0"/>
                <w:sz w:val="18"/>
                <w:szCs w:val="18"/>
              </w:rPr>
              <w:br w:type="textWrapping"/>
            </w:r>
            <w:r>
              <w:rPr>
                <w:rFonts w:hint="eastAsia" w:ascii="宋体" w:hAnsi="宋体" w:cs="宋体"/>
                <w:color w:val="auto"/>
                <w:kern w:val="0"/>
                <w:sz w:val="18"/>
                <w:szCs w:val="18"/>
              </w:rPr>
              <w:t>4、协助推进DRG支付方式改革实施。</w:t>
            </w:r>
            <w:r>
              <w:rPr>
                <w:rFonts w:hint="eastAsia" w:ascii="宋体" w:hAnsi="宋体" w:cs="宋体"/>
                <w:color w:val="auto"/>
                <w:kern w:val="0"/>
                <w:sz w:val="18"/>
                <w:szCs w:val="18"/>
              </w:rPr>
              <w:br w:type="textWrapping"/>
            </w:r>
            <w:r>
              <w:rPr>
                <w:rFonts w:hint="eastAsia" w:ascii="宋体" w:hAnsi="宋体" w:cs="宋体"/>
                <w:color w:val="auto"/>
                <w:kern w:val="0"/>
                <w:sz w:val="18"/>
                <w:szCs w:val="18"/>
              </w:rPr>
              <w:t>5、全面落实经办政务服务事项清单、操作规范，提升经办标准化规范化便捷化水平。</w:t>
            </w:r>
          </w:p>
        </w:tc>
      </w:tr>
      <w:tr>
        <w:tblPrEx>
          <w:tblCellMar>
            <w:top w:w="0" w:type="dxa"/>
            <w:left w:w="108" w:type="dxa"/>
            <w:bottom w:w="0" w:type="dxa"/>
            <w:right w:w="108" w:type="dxa"/>
          </w:tblCellMar>
        </w:tblPrEx>
        <w:trPr>
          <w:trHeight w:val="610" w:hRule="atLeast"/>
          <w:jc w:val="center"/>
        </w:trPr>
        <w:tc>
          <w:tcPr>
            <w:tcW w:w="245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年度预算（万元）</w:t>
            </w:r>
          </w:p>
        </w:tc>
        <w:tc>
          <w:tcPr>
            <w:tcW w:w="3995"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资金来源</w:t>
            </w:r>
          </w:p>
        </w:tc>
        <w:tc>
          <w:tcPr>
            <w:tcW w:w="336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资金总额（万元）</w:t>
            </w:r>
          </w:p>
        </w:tc>
      </w:tr>
      <w:tr>
        <w:tblPrEx>
          <w:tblCellMar>
            <w:top w:w="0" w:type="dxa"/>
            <w:left w:w="108" w:type="dxa"/>
            <w:bottom w:w="0" w:type="dxa"/>
            <w:right w:w="108" w:type="dxa"/>
          </w:tblCellMar>
        </w:tblPrEx>
        <w:trPr>
          <w:trHeight w:val="447" w:hRule="atLeast"/>
          <w:jc w:val="center"/>
        </w:trPr>
        <w:tc>
          <w:tcPr>
            <w:tcW w:w="245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auto"/>
                <w:kern w:val="0"/>
                <w:sz w:val="20"/>
                <w:szCs w:val="20"/>
              </w:rPr>
            </w:pPr>
          </w:p>
        </w:tc>
        <w:tc>
          <w:tcPr>
            <w:tcW w:w="286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财政资金（万元）</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上级安排</w:t>
            </w:r>
          </w:p>
        </w:tc>
        <w:tc>
          <w:tcPr>
            <w:tcW w:w="33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488" w:hRule="atLeast"/>
          <w:jc w:val="center"/>
        </w:trPr>
        <w:tc>
          <w:tcPr>
            <w:tcW w:w="245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auto"/>
                <w:kern w:val="0"/>
                <w:sz w:val="20"/>
                <w:szCs w:val="20"/>
              </w:rPr>
            </w:pPr>
          </w:p>
        </w:tc>
        <w:tc>
          <w:tcPr>
            <w:tcW w:w="286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auto"/>
                <w:kern w:val="0"/>
                <w:sz w:val="18"/>
                <w:szCs w:val="18"/>
              </w:rPr>
            </w:pP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本级安排</w:t>
            </w:r>
          </w:p>
        </w:tc>
        <w:tc>
          <w:tcPr>
            <w:tcW w:w="33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230.07</w:t>
            </w:r>
          </w:p>
        </w:tc>
      </w:tr>
      <w:tr>
        <w:tblPrEx>
          <w:tblCellMar>
            <w:top w:w="0" w:type="dxa"/>
            <w:left w:w="108" w:type="dxa"/>
            <w:bottom w:w="0" w:type="dxa"/>
            <w:right w:w="108" w:type="dxa"/>
          </w:tblCellMar>
        </w:tblPrEx>
        <w:trPr>
          <w:trHeight w:val="488" w:hRule="atLeast"/>
          <w:jc w:val="center"/>
        </w:trPr>
        <w:tc>
          <w:tcPr>
            <w:tcW w:w="245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b/>
                <w:bCs/>
                <w:color w:val="auto"/>
                <w:kern w:val="0"/>
                <w:sz w:val="20"/>
                <w:szCs w:val="20"/>
              </w:rPr>
            </w:pPr>
          </w:p>
        </w:tc>
        <w:tc>
          <w:tcPr>
            <w:tcW w:w="2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其他资金（万元）</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其他</w:t>
            </w:r>
          </w:p>
        </w:tc>
        <w:tc>
          <w:tcPr>
            <w:tcW w:w="3367"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549" w:hRule="atLeast"/>
          <w:jc w:val="center"/>
        </w:trPr>
        <w:tc>
          <w:tcPr>
            <w:tcW w:w="1084"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一级指标</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二级指标</w:t>
            </w:r>
          </w:p>
        </w:tc>
        <w:tc>
          <w:tcPr>
            <w:tcW w:w="2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三级指标</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指标值</w:t>
            </w:r>
          </w:p>
        </w:tc>
        <w:tc>
          <w:tcPr>
            <w:tcW w:w="20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20"/>
                <w:szCs w:val="20"/>
              </w:rPr>
            </w:pPr>
            <w:r>
              <w:rPr>
                <w:rFonts w:hint="eastAsia" w:ascii="宋体" w:hAnsi="宋体" w:cs="宋体"/>
                <w:b/>
                <w:bCs/>
                <w:color w:val="auto"/>
                <w:kern w:val="0"/>
                <w:sz w:val="20"/>
                <w:szCs w:val="20"/>
              </w:rPr>
              <w:t>分值权重</w:t>
            </w:r>
          </w:p>
        </w:tc>
      </w:tr>
      <w:tr>
        <w:tblPrEx>
          <w:tblCellMar>
            <w:top w:w="0" w:type="dxa"/>
            <w:left w:w="108" w:type="dxa"/>
            <w:bottom w:w="0" w:type="dxa"/>
            <w:right w:w="108" w:type="dxa"/>
          </w:tblCellMar>
        </w:tblPrEx>
        <w:trPr>
          <w:trHeight w:val="488" w:hRule="atLeast"/>
          <w:jc w:val="center"/>
        </w:trPr>
        <w:tc>
          <w:tcPr>
            <w:tcW w:w="108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履职效能</w:t>
            </w: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开展医保政策宣传及培训次数</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≧3.0次</w:t>
            </w:r>
          </w:p>
        </w:tc>
        <w:tc>
          <w:tcPr>
            <w:tcW w:w="20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2023年工作总结及</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18</w:t>
            </w:r>
          </w:p>
        </w:tc>
      </w:tr>
      <w:tr>
        <w:tblPrEx>
          <w:tblCellMar>
            <w:top w:w="0" w:type="dxa"/>
            <w:left w:w="108" w:type="dxa"/>
            <w:bottom w:w="0" w:type="dxa"/>
            <w:right w:w="108" w:type="dxa"/>
          </w:tblCellMar>
        </w:tblPrEx>
        <w:trPr>
          <w:trHeight w:val="488" w:hRule="atLeast"/>
          <w:jc w:val="center"/>
        </w:trPr>
        <w:tc>
          <w:tcPr>
            <w:tcW w:w="10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医保政策现场培训单位数</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≧300家</w:t>
            </w:r>
          </w:p>
        </w:tc>
        <w:tc>
          <w:tcPr>
            <w:tcW w:w="20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2023年工作总结及</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18</w:t>
            </w:r>
          </w:p>
        </w:tc>
      </w:tr>
      <w:tr>
        <w:tblPrEx>
          <w:tblCellMar>
            <w:top w:w="0" w:type="dxa"/>
            <w:left w:w="108" w:type="dxa"/>
            <w:bottom w:w="0" w:type="dxa"/>
            <w:right w:w="108" w:type="dxa"/>
          </w:tblCellMar>
        </w:tblPrEx>
        <w:trPr>
          <w:trHeight w:val="488" w:hRule="atLeast"/>
          <w:jc w:val="center"/>
        </w:trPr>
        <w:tc>
          <w:tcPr>
            <w:tcW w:w="10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“一窗受理”即时办结业务事项</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≧18项</w:t>
            </w:r>
          </w:p>
        </w:tc>
        <w:tc>
          <w:tcPr>
            <w:tcW w:w="20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2023年工作总结及</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18</w:t>
            </w:r>
          </w:p>
        </w:tc>
      </w:tr>
      <w:tr>
        <w:tblPrEx>
          <w:tblCellMar>
            <w:top w:w="0" w:type="dxa"/>
            <w:left w:w="108" w:type="dxa"/>
            <w:bottom w:w="0" w:type="dxa"/>
            <w:right w:w="108" w:type="dxa"/>
          </w:tblCellMar>
        </w:tblPrEx>
        <w:trPr>
          <w:trHeight w:val="488" w:hRule="atLeast"/>
          <w:jc w:val="center"/>
        </w:trPr>
        <w:tc>
          <w:tcPr>
            <w:tcW w:w="10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城乡居民医疗保险参保覆盖率</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≧95.0%</w:t>
            </w:r>
          </w:p>
        </w:tc>
        <w:tc>
          <w:tcPr>
            <w:tcW w:w="20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2023年工作总结及</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18</w:t>
            </w:r>
          </w:p>
        </w:tc>
      </w:tr>
      <w:tr>
        <w:tblPrEx>
          <w:tblCellMar>
            <w:top w:w="0" w:type="dxa"/>
            <w:left w:w="108" w:type="dxa"/>
            <w:bottom w:w="0" w:type="dxa"/>
            <w:right w:w="108" w:type="dxa"/>
          </w:tblCellMar>
        </w:tblPrEx>
        <w:trPr>
          <w:trHeight w:val="488" w:hRule="atLeast"/>
          <w:jc w:val="center"/>
        </w:trPr>
        <w:tc>
          <w:tcPr>
            <w:tcW w:w="1084"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7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286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定点医疗机构签订数量</w:t>
            </w:r>
          </w:p>
        </w:tc>
        <w:tc>
          <w:tcPr>
            <w:tcW w:w="112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≧57家</w:t>
            </w:r>
          </w:p>
        </w:tc>
        <w:tc>
          <w:tcPr>
            <w:tcW w:w="20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2023年工作总结及</w:t>
            </w:r>
            <w:r>
              <w:rPr>
                <w:rFonts w:hint="eastAsia" w:ascii="宋体" w:hAnsi="宋体" w:cs="宋体"/>
                <w:color w:val="auto"/>
                <w:kern w:val="0"/>
                <w:sz w:val="18"/>
                <w:szCs w:val="18"/>
              </w:rPr>
              <w:br w:type="textWrapping"/>
            </w:r>
            <w:r>
              <w:rPr>
                <w:rFonts w:hint="eastAsia" w:ascii="宋体" w:hAnsi="宋体" w:cs="宋体"/>
                <w:color w:val="auto"/>
                <w:kern w:val="0"/>
                <w:sz w:val="18"/>
                <w:szCs w:val="18"/>
              </w:rPr>
              <w:t>2024年工作计划</w:t>
            </w:r>
          </w:p>
        </w:tc>
        <w:tc>
          <w:tcPr>
            <w:tcW w:w="131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18</w:t>
            </w:r>
          </w:p>
        </w:tc>
      </w:tr>
    </w:tbl>
    <w:p>
      <w:pPr>
        <w:rPr>
          <w:color w:val="auto"/>
        </w:rPr>
      </w:pPr>
    </w:p>
    <w:p>
      <w:pPr>
        <w:widowControl/>
        <w:jc w:val="left"/>
        <w:rPr>
          <w:color w:val="auto"/>
        </w:rPr>
      </w:pPr>
      <w:r>
        <w:rPr>
          <w:color w:val="auto"/>
        </w:rPr>
        <w:br w:type="page"/>
      </w:r>
    </w:p>
    <w:tbl>
      <w:tblPr>
        <w:tblStyle w:val="4"/>
        <w:tblW w:w="10200" w:type="dxa"/>
        <w:jc w:val="center"/>
        <w:tblLayout w:type="autofit"/>
        <w:tblCellMar>
          <w:top w:w="0" w:type="dxa"/>
          <w:left w:w="108" w:type="dxa"/>
          <w:bottom w:w="0" w:type="dxa"/>
          <w:right w:w="108" w:type="dxa"/>
        </w:tblCellMar>
      </w:tblPr>
      <w:tblGrid>
        <w:gridCol w:w="740"/>
        <w:gridCol w:w="1340"/>
        <w:gridCol w:w="1980"/>
        <w:gridCol w:w="1060"/>
        <w:gridCol w:w="1100"/>
        <w:gridCol w:w="940"/>
        <w:gridCol w:w="920"/>
        <w:gridCol w:w="1000"/>
        <w:gridCol w:w="1120"/>
      </w:tblGrid>
      <w:tr>
        <w:tblPrEx>
          <w:tblCellMar>
            <w:top w:w="0" w:type="dxa"/>
            <w:left w:w="108" w:type="dxa"/>
            <w:bottom w:w="0" w:type="dxa"/>
            <w:right w:w="108" w:type="dxa"/>
          </w:tblCellMar>
        </w:tblPrEx>
        <w:trPr>
          <w:trHeight w:val="440" w:hRule="atLeast"/>
          <w:jc w:val="center"/>
        </w:trPr>
        <w:tc>
          <w:tcPr>
            <w:tcW w:w="10200" w:type="dxa"/>
            <w:gridSpan w:val="9"/>
            <w:tcBorders>
              <w:top w:val="nil"/>
              <w:left w:val="nil"/>
              <w:bottom w:val="nil"/>
              <w:right w:val="nil"/>
            </w:tcBorders>
            <w:shd w:val="clear" w:color="auto" w:fill="auto"/>
            <w:vAlign w:val="center"/>
          </w:tcPr>
          <w:p>
            <w:pPr>
              <w:widowControl/>
              <w:jc w:val="center"/>
              <w:rPr>
                <w:rFonts w:ascii="宋体" w:hAnsi="宋体" w:cs="宋体"/>
                <w:b/>
                <w:bCs/>
                <w:color w:val="auto"/>
                <w:kern w:val="0"/>
                <w:sz w:val="18"/>
                <w:szCs w:val="18"/>
              </w:rPr>
            </w:pPr>
            <w:r>
              <w:rPr>
                <w:rFonts w:hint="eastAsia" w:ascii="仿宋_GB2312" w:hAnsi="宋体" w:eastAsia="仿宋_GB2312" w:cs="仿宋_GB2312"/>
                <w:b/>
                <w:color w:val="auto"/>
                <w:kern w:val="0"/>
                <w:sz w:val="32"/>
                <w:szCs w:val="32"/>
                <w:lang w:bidi="ar"/>
              </w:rPr>
              <w:t>项目支出绩效目标表</w:t>
            </w:r>
          </w:p>
        </w:tc>
      </w:tr>
      <w:tr>
        <w:tblPrEx>
          <w:tblCellMar>
            <w:top w:w="0" w:type="dxa"/>
            <w:left w:w="108" w:type="dxa"/>
            <w:bottom w:w="0" w:type="dxa"/>
            <w:right w:w="108" w:type="dxa"/>
          </w:tblCellMar>
        </w:tblPrEx>
        <w:trPr>
          <w:trHeight w:val="420" w:hRule="atLeast"/>
          <w:jc w:val="center"/>
        </w:trPr>
        <w:tc>
          <w:tcPr>
            <w:tcW w:w="10200" w:type="dxa"/>
            <w:gridSpan w:val="9"/>
            <w:tcBorders>
              <w:top w:val="nil"/>
              <w:left w:val="nil"/>
              <w:bottom w:val="nil"/>
              <w:right w:val="nil"/>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sz w:val="22"/>
                <w:lang w:eastAsia="zh-Hans"/>
              </w:rPr>
              <w:t>（</w:t>
            </w:r>
            <w:r>
              <w:rPr>
                <w:rFonts w:ascii="宋体" w:hAnsi="宋体" w:cs="宋体"/>
                <w:color w:val="auto"/>
                <w:sz w:val="22"/>
                <w:lang w:eastAsia="zh-Hans"/>
              </w:rPr>
              <w:t>202</w:t>
            </w:r>
            <w:r>
              <w:rPr>
                <w:rFonts w:hint="eastAsia" w:ascii="宋体" w:hAnsi="宋体" w:cs="宋体"/>
                <w:color w:val="auto"/>
                <w:sz w:val="22"/>
              </w:rPr>
              <w:t>4</w:t>
            </w:r>
            <w:r>
              <w:rPr>
                <w:rFonts w:hint="eastAsia" w:ascii="宋体" w:hAnsi="宋体" w:cs="宋体"/>
                <w:color w:val="auto"/>
                <w:sz w:val="22"/>
                <w:lang w:eastAsia="zh-Hans"/>
              </w:rPr>
              <w:t>年）</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预算单位</w:t>
            </w:r>
          </w:p>
        </w:tc>
        <w:tc>
          <w:tcPr>
            <w:tcW w:w="812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托克逊县医疗保障事业发展中心</w:t>
            </w:r>
          </w:p>
        </w:tc>
      </w:tr>
      <w:tr>
        <w:tblPrEx>
          <w:tblCellMar>
            <w:top w:w="0" w:type="dxa"/>
            <w:left w:w="108" w:type="dxa"/>
            <w:bottom w:w="0" w:type="dxa"/>
            <w:right w:w="108" w:type="dxa"/>
          </w:tblCellMar>
        </w:tblPrEx>
        <w:trPr>
          <w:trHeight w:val="44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项目名称</w:t>
            </w:r>
          </w:p>
        </w:tc>
        <w:tc>
          <w:tcPr>
            <w:tcW w:w="414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离休人员医疗费</w:t>
            </w:r>
          </w:p>
        </w:tc>
        <w:tc>
          <w:tcPr>
            <w:tcW w:w="18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项目负责人</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马芬</w:t>
            </w:r>
          </w:p>
        </w:tc>
      </w:tr>
      <w:tr>
        <w:tblPrEx>
          <w:tblCellMar>
            <w:top w:w="0" w:type="dxa"/>
            <w:left w:w="108" w:type="dxa"/>
            <w:bottom w:w="0" w:type="dxa"/>
            <w:right w:w="108" w:type="dxa"/>
          </w:tblCellMar>
        </w:tblPrEx>
        <w:trPr>
          <w:trHeight w:val="66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项目资金（万元）</w:t>
            </w:r>
          </w:p>
        </w:tc>
        <w:tc>
          <w:tcPr>
            <w:tcW w:w="19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auto"/>
                <w:kern w:val="0"/>
                <w:sz w:val="18"/>
                <w:szCs w:val="18"/>
                <w:lang w:eastAsia="zh-CN"/>
              </w:rPr>
            </w:pPr>
            <w:r>
              <w:rPr>
                <w:rFonts w:hint="eastAsia" w:ascii="宋体" w:hAnsi="宋体" w:cs="宋体"/>
                <w:color w:val="auto"/>
                <w:kern w:val="0"/>
                <w:sz w:val="18"/>
                <w:szCs w:val="18"/>
              </w:rPr>
              <w:t>年度预算总额：</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20.00</w:t>
            </w:r>
          </w:p>
        </w:tc>
        <w:tc>
          <w:tcPr>
            <w:tcW w:w="110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其中：财政拨款</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20.00</w:t>
            </w:r>
          </w:p>
        </w:tc>
        <w:tc>
          <w:tcPr>
            <w:tcW w:w="92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其他资金</w:t>
            </w:r>
          </w:p>
        </w:tc>
        <w:tc>
          <w:tcPr>
            <w:tcW w:w="212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0.00</w:t>
            </w:r>
          </w:p>
        </w:tc>
      </w:tr>
      <w:tr>
        <w:tblPrEx>
          <w:tblCellMar>
            <w:top w:w="0" w:type="dxa"/>
            <w:left w:w="108" w:type="dxa"/>
            <w:bottom w:w="0" w:type="dxa"/>
            <w:right w:w="108" w:type="dxa"/>
          </w:tblCellMar>
        </w:tblPrEx>
        <w:trPr>
          <w:trHeight w:val="1100" w:hRule="atLeast"/>
          <w:jc w:val="center"/>
        </w:trPr>
        <w:tc>
          <w:tcPr>
            <w:tcW w:w="208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项目总体目标</w:t>
            </w:r>
          </w:p>
        </w:tc>
        <w:tc>
          <w:tcPr>
            <w:tcW w:w="8120"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auto"/>
                <w:kern w:val="0"/>
                <w:sz w:val="18"/>
                <w:szCs w:val="18"/>
              </w:rPr>
            </w:pPr>
            <w:r>
              <w:rPr>
                <w:rFonts w:hint="eastAsia" w:ascii="宋体" w:hAnsi="宋体" w:cs="宋体"/>
                <w:color w:val="auto"/>
                <w:kern w:val="0"/>
                <w:sz w:val="18"/>
                <w:szCs w:val="18"/>
              </w:rPr>
              <w:t>通过对4名离休人员住院、门诊等支出医疗费用按照政策范围内的实报实销，有效帮助解决离休人员医疗费用的问题，保障离休人员的健康权益，减轻离休人员生活压力，提高离休人员生活质量。</w:t>
            </w:r>
          </w:p>
        </w:tc>
      </w:tr>
      <w:tr>
        <w:tblPrEx>
          <w:tblCellMar>
            <w:top w:w="0" w:type="dxa"/>
            <w:left w:w="108" w:type="dxa"/>
            <w:bottom w:w="0" w:type="dxa"/>
            <w:right w:w="108" w:type="dxa"/>
          </w:tblCellMar>
        </w:tblPrEx>
        <w:trPr>
          <w:trHeight w:val="520" w:hRule="atLeast"/>
          <w:jc w:val="center"/>
        </w:trPr>
        <w:tc>
          <w:tcPr>
            <w:tcW w:w="74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一级指标</w:t>
            </w:r>
          </w:p>
        </w:tc>
        <w:tc>
          <w:tcPr>
            <w:tcW w:w="13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二级指标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三级指标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指标值设置依据</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上年完成值</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指标分值权重</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指标赋分规则</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b/>
                <w:bCs/>
                <w:color w:val="auto"/>
                <w:kern w:val="0"/>
                <w:sz w:val="18"/>
                <w:szCs w:val="18"/>
              </w:rPr>
            </w:pPr>
            <w:r>
              <w:rPr>
                <w:rFonts w:hint="eastAsia" w:ascii="宋体" w:hAnsi="宋体" w:cs="宋体"/>
                <w:b/>
                <w:bCs/>
                <w:color w:val="auto"/>
                <w:kern w:val="0"/>
                <w:sz w:val="18"/>
                <w:szCs w:val="18"/>
              </w:rPr>
              <w:t>佐证资料</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产出指标</w:t>
            </w:r>
          </w:p>
        </w:tc>
        <w:tc>
          <w:tcPr>
            <w:tcW w:w="1340" w:type="dxa"/>
            <w:tcBorders>
              <w:top w:val="nil"/>
              <w:left w:val="nil"/>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数量指标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保障离休人员医疗待遇落实人数</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≧4人</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0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质量指标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资金规范管理使用率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直接赋分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30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40" w:type="dxa"/>
            <w:vMerge w:val="continue"/>
            <w:tcBorders>
              <w:top w:val="single" w:color="auto" w:sz="4" w:space="0"/>
              <w:left w:val="single" w:color="auto" w:sz="4" w:space="0"/>
              <w:bottom w:val="nil"/>
              <w:right w:val="single" w:color="auto" w:sz="4" w:space="0"/>
            </w:tcBorders>
            <w:vAlign w:val="center"/>
          </w:tcPr>
          <w:p>
            <w:pPr>
              <w:widowControl/>
              <w:jc w:val="left"/>
              <w:rPr>
                <w:rFonts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医疗费报销合规率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直接赋分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4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时效指标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报销费用支付及时率</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成本指标</w:t>
            </w:r>
          </w:p>
        </w:tc>
        <w:tc>
          <w:tcPr>
            <w:tcW w:w="1340"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经济成本指标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离休人员医疗报销比例</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＝100.0%</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工作资料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40" w:type="dxa"/>
            <w:vMerge w:val="continue"/>
            <w:tcBorders>
              <w:top w:val="nil"/>
              <w:left w:val="single" w:color="auto" w:sz="4" w:space="0"/>
              <w:bottom w:val="nil"/>
              <w:right w:val="single" w:color="auto" w:sz="4" w:space="0"/>
            </w:tcBorders>
            <w:vAlign w:val="center"/>
          </w:tcPr>
          <w:p>
            <w:pPr>
              <w:widowControl/>
              <w:jc w:val="left"/>
              <w:rPr>
                <w:rFonts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医疗费报销金额</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≤20万元</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10</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按照完成比例赋分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原始凭证</w:t>
            </w:r>
          </w:p>
        </w:tc>
      </w:tr>
      <w:tr>
        <w:tblPrEx>
          <w:tblCellMar>
            <w:top w:w="0" w:type="dxa"/>
            <w:left w:w="108" w:type="dxa"/>
            <w:bottom w:w="0" w:type="dxa"/>
            <w:right w:w="108" w:type="dxa"/>
          </w:tblCellMar>
        </w:tblPrEx>
        <w:trPr>
          <w:trHeight w:val="520" w:hRule="atLeast"/>
          <w:jc w:val="center"/>
        </w:trPr>
        <w:tc>
          <w:tcPr>
            <w:tcW w:w="740" w:type="dxa"/>
            <w:vMerge w:val="restart"/>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效益指标</w:t>
            </w:r>
          </w:p>
        </w:tc>
        <w:tc>
          <w:tcPr>
            <w:tcW w:w="1340" w:type="dxa"/>
            <w:vMerge w:val="restart"/>
            <w:tcBorders>
              <w:top w:val="single" w:color="auto" w:sz="4" w:space="0"/>
              <w:left w:val="single" w:color="auto" w:sz="4" w:space="0"/>
              <w:bottom w:val="nil"/>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社会效益指标</w:t>
            </w: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减少离休人员就医负担</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有效减轻</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说明材料</w:t>
            </w:r>
          </w:p>
        </w:tc>
      </w:tr>
      <w:tr>
        <w:tblPrEx>
          <w:tblCellMar>
            <w:top w:w="0" w:type="dxa"/>
            <w:left w:w="108" w:type="dxa"/>
            <w:bottom w:w="0" w:type="dxa"/>
            <w:right w:w="108" w:type="dxa"/>
          </w:tblCellMar>
        </w:tblPrEx>
        <w:trPr>
          <w:trHeight w:val="520" w:hRule="atLeast"/>
          <w:jc w:val="center"/>
        </w:trPr>
        <w:tc>
          <w:tcPr>
            <w:tcW w:w="7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3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rPr>
            </w:pPr>
          </w:p>
        </w:tc>
        <w:tc>
          <w:tcPr>
            <w:tcW w:w="19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保障离休人员的健康权益</w:t>
            </w:r>
          </w:p>
        </w:tc>
        <w:tc>
          <w:tcPr>
            <w:tcW w:w="1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有效保障</w:t>
            </w:r>
          </w:p>
        </w:tc>
        <w:tc>
          <w:tcPr>
            <w:tcW w:w="11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计划标准</w:t>
            </w:r>
          </w:p>
        </w:tc>
        <w:tc>
          <w:tcPr>
            <w:tcW w:w="94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w:t>
            </w:r>
          </w:p>
        </w:tc>
        <w:tc>
          <w:tcPr>
            <w:tcW w:w="9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15</w:t>
            </w:r>
          </w:p>
        </w:tc>
        <w:tc>
          <w:tcPr>
            <w:tcW w:w="100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按评判等级赋分</w:t>
            </w:r>
          </w:p>
        </w:tc>
        <w:tc>
          <w:tcPr>
            <w:tcW w:w="11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auto"/>
                <w:kern w:val="0"/>
                <w:sz w:val="18"/>
                <w:szCs w:val="18"/>
              </w:rPr>
            </w:pPr>
            <w:r>
              <w:rPr>
                <w:rFonts w:hint="eastAsia" w:ascii="宋体" w:hAnsi="宋体" w:cs="宋体"/>
                <w:color w:val="auto"/>
                <w:kern w:val="0"/>
                <w:sz w:val="18"/>
                <w:szCs w:val="18"/>
              </w:rPr>
              <w:t>说明材料</w:t>
            </w:r>
          </w:p>
        </w:tc>
      </w:tr>
    </w:tbl>
    <w:p>
      <w:pPr>
        <w:rPr>
          <w:color w:val="auto"/>
        </w:rPr>
      </w:pPr>
    </w:p>
    <w:p>
      <w:pPr>
        <w:widowControl/>
        <w:spacing w:line="560" w:lineRule="exact"/>
        <w:ind w:firstLine="630" w:firstLineChars="196"/>
        <w:jc w:val="left"/>
        <w:rPr>
          <w:rFonts w:ascii="楷体_GB2312" w:hAnsi="宋体" w:eastAsia="楷体_GB2312" w:cs="宋体"/>
          <w:b/>
          <w:color w:val="auto"/>
          <w:kern w:val="0"/>
          <w:sz w:val="32"/>
          <w:szCs w:val="32"/>
        </w:rPr>
        <w:sectPr>
          <w:pgSz w:w="11906" w:h="16838"/>
          <w:pgMar w:top="1440" w:right="1800" w:bottom="1440" w:left="1800" w:header="851" w:footer="992" w:gutter="0"/>
          <w:cols w:space="425" w:num="1"/>
          <w:docGrid w:type="lines" w:linePitch="312" w:charSpace="0"/>
        </w:sectPr>
      </w:pPr>
    </w:p>
    <w:p>
      <w:pPr>
        <w:widowControl/>
        <w:spacing w:line="520" w:lineRule="exact"/>
        <w:ind w:firstLine="630" w:firstLineChars="196"/>
        <w:jc w:val="left"/>
        <w:rPr>
          <w:rFonts w:ascii="楷体_GB2312" w:hAnsi="楷体_GB2312" w:eastAsia="楷体_GB2312" w:cs="楷体_GB2312"/>
          <w:b/>
          <w:color w:val="auto"/>
          <w:kern w:val="0"/>
          <w:sz w:val="32"/>
          <w:szCs w:val="32"/>
        </w:rPr>
      </w:pPr>
      <w:r>
        <w:rPr>
          <w:rFonts w:hint="eastAsia" w:ascii="楷体_GB2312" w:hAnsi="楷体_GB2312" w:eastAsia="楷体_GB2312" w:cs="宋体"/>
          <w:b/>
          <w:color w:val="auto"/>
          <w:kern w:val="0"/>
          <w:sz w:val="32"/>
          <w:szCs w:val="32"/>
        </w:rPr>
        <w:t>（五）其他需说明的事项</w:t>
      </w:r>
    </w:p>
    <w:p>
      <w:pPr>
        <w:widowControl/>
        <w:spacing w:line="520" w:lineRule="exact"/>
        <w:ind w:firstLine="640" w:firstLineChars="200"/>
        <w:jc w:val="lef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我单位无其他需说明事项。</w:t>
      </w:r>
    </w:p>
    <w:p>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color w:val="auto"/>
          <w:kern w:val="0"/>
          <w:sz w:val="32"/>
          <w:szCs w:val="32"/>
        </w:rPr>
      </w:pPr>
      <w:r>
        <w:rPr>
          <w:rFonts w:hint="eastAsia" w:ascii="黑体" w:hAnsi="黑体" w:eastAsia="黑体"/>
          <w:color w:val="auto"/>
          <w:kern w:val="0"/>
          <w:sz w:val="32"/>
          <w:szCs w:val="32"/>
        </w:rPr>
        <w:t>第四部分名词解释</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一、财政拨款：</w:t>
      </w:r>
      <w:r>
        <w:rPr>
          <w:rFonts w:hint="eastAsia" w:ascii="仿宋_GB2312" w:eastAsia="仿宋_GB2312"/>
          <w:color w:val="auto"/>
          <w:sz w:val="32"/>
          <w:szCs w:val="32"/>
        </w:rPr>
        <w:t>指由一般公共预算、政府性基金预算、国有资本经营预算安排的财政拨款数。</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二、一般公共预算：</w:t>
      </w:r>
      <w:r>
        <w:rPr>
          <w:rFonts w:hint="eastAsia" w:ascii="仿宋_GB2312" w:eastAsia="仿宋_GB2312"/>
          <w:color w:val="auto"/>
          <w:sz w:val="32"/>
          <w:szCs w:val="32"/>
        </w:rPr>
        <w:t>包括公共财政拨款（补助）资金、专项收入。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三、财政专户管理资金：</w:t>
      </w:r>
      <w:r>
        <w:rPr>
          <w:rFonts w:hint="eastAsia" w:ascii="仿宋_GB2312" w:eastAsia="仿宋_GB2312"/>
          <w:color w:val="auto"/>
          <w:sz w:val="32"/>
          <w:szCs w:val="32"/>
        </w:rPr>
        <w:t>包括专户管理行政事业性收费（主要是教育收费）、其他非税收入。</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四、其他资金：</w:t>
      </w:r>
      <w:r>
        <w:rPr>
          <w:rFonts w:hint="eastAsia" w:ascii="仿宋_GB2312" w:eastAsia="仿宋_GB2312"/>
          <w:color w:val="auto"/>
          <w:sz w:val="32"/>
          <w:szCs w:val="32"/>
        </w:rPr>
        <w:t>包括事业收入、事业经营收入、其他收入等。</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五、基本支出：</w:t>
      </w:r>
      <w:r>
        <w:rPr>
          <w:rFonts w:hint="eastAsia" w:ascii="仿宋_GB2312" w:eastAsia="仿宋_GB2312"/>
          <w:color w:val="auto"/>
          <w:sz w:val="32"/>
          <w:szCs w:val="32"/>
        </w:rPr>
        <w:t>包括人员经费、公用经费（定额）。其中，人员经费包括工资福利支出、对个人和家庭的补助。</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六、项目支出：</w:t>
      </w:r>
      <w:r>
        <w:rPr>
          <w:rFonts w:hint="eastAsia" w:ascii="仿宋_GB2312" w:eastAsia="仿宋_GB2312"/>
          <w:color w:val="auto"/>
          <w:sz w:val="32"/>
          <w:szCs w:val="32"/>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七、“三公”经费：</w:t>
      </w:r>
      <w:r>
        <w:rPr>
          <w:rFonts w:hint="eastAsia" w:ascii="仿宋_GB2312" w:eastAsia="仿宋_GB2312"/>
          <w:color w:val="auto"/>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color w:val="auto"/>
          <w:sz w:val="32"/>
          <w:szCs w:val="32"/>
        </w:rPr>
      </w:pPr>
      <w:r>
        <w:rPr>
          <w:rFonts w:hint="eastAsia" w:ascii="楷体_GB2312" w:hAnsi="楷体_GB2312" w:eastAsia="楷体_GB2312"/>
          <w:b/>
          <w:color w:val="auto"/>
          <w:sz w:val="32"/>
          <w:szCs w:val="32"/>
        </w:rPr>
        <w:t>八、机关运行经费：</w:t>
      </w:r>
      <w:r>
        <w:rPr>
          <w:rFonts w:hint="eastAsia" w:ascii="仿宋_GB2312" w:eastAsia="仿宋_GB2312"/>
          <w:color w:val="auto"/>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left"/>
        <w:rPr>
          <w:rFonts w:ascii="仿宋_GB2312" w:hAnsi="宋体" w:eastAsia="仿宋_GB2312" w:cs="宋体"/>
          <w:color w:val="auto"/>
          <w:kern w:val="0"/>
          <w:sz w:val="32"/>
          <w:szCs w:val="32"/>
        </w:rPr>
      </w:pPr>
    </w:p>
    <w:p>
      <w:pPr>
        <w:widowControl/>
        <w:spacing w:line="520" w:lineRule="exact"/>
        <w:jc w:val="right"/>
        <w:rPr>
          <w:rFonts w:ascii="仿宋_GB2312" w:hAnsi="宋体" w:eastAsia="仿宋_GB2312" w:cs="宋体"/>
          <w:color w:val="auto"/>
          <w:kern w:val="0"/>
          <w:sz w:val="32"/>
          <w:szCs w:val="32"/>
        </w:rPr>
      </w:pPr>
      <w:r>
        <w:rPr>
          <w:rFonts w:hint="eastAsia" w:ascii="仿宋_GB2312" w:hAnsi="宋体" w:eastAsia="仿宋_GB2312" w:cs="宋体"/>
          <w:color w:val="auto"/>
          <w:kern w:val="0"/>
          <w:sz w:val="32"/>
          <w:szCs w:val="32"/>
        </w:rPr>
        <w:t>托克逊县医疗保障事业发展中心</w:t>
      </w:r>
    </w:p>
    <w:p>
      <w:pPr>
        <w:widowControl/>
        <w:spacing w:line="520" w:lineRule="exact"/>
        <w:jc w:val="right"/>
        <w:rPr>
          <w:rFonts w:ascii="仿宋_GB2312" w:hAnsi="宋体" w:eastAsia="仿宋_GB2312" w:cs="宋体"/>
          <w:color w:val="auto"/>
          <w:kern w:val="0"/>
          <w:sz w:val="32"/>
          <w:szCs w:val="32"/>
        </w:rPr>
      </w:pPr>
      <w:r>
        <w:rPr>
          <w:rFonts w:ascii="仿宋_GB2312" w:hAnsi="宋体" w:eastAsia="仿宋_GB2312" w:cs="宋体"/>
          <w:color w:val="auto"/>
          <w:kern w:val="0"/>
          <w:sz w:val="32"/>
          <w:szCs w:val="32"/>
        </w:rPr>
        <w:t>2024年02月04日</w:t>
      </w:r>
    </w:p>
    <w:p>
      <w:pPr>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32-</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192F64"/>
    <w:rsid w:val="0027704B"/>
    <w:rsid w:val="00367EBD"/>
    <w:rsid w:val="003A1F5B"/>
    <w:rsid w:val="00453C0F"/>
    <w:rsid w:val="00681AB8"/>
    <w:rsid w:val="00765683"/>
    <w:rsid w:val="00795135"/>
    <w:rsid w:val="007D0A35"/>
    <w:rsid w:val="00993B9B"/>
    <w:rsid w:val="00A836C6"/>
    <w:rsid w:val="00C50931"/>
    <w:rsid w:val="00C532E4"/>
    <w:rsid w:val="00CD3286"/>
    <w:rsid w:val="00DA09E3"/>
    <w:rsid w:val="00E27632"/>
    <w:rsid w:val="3DDC7F8B"/>
    <w:rsid w:val="52CF6827"/>
    <w:rsid w:val="58FC3134"/>
    <w:rsid w:val="59063714"/>
    <w:rsid w:val="5C2860FF"/>
    <w:rsid w:val="60DE5BF6"/>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2119</Words>
  <Characters>2475</Characters>
  <Lines>102</Lines>
  <Paragraphs>28</Paragraphs>
  <TotalTime>2</TotalTime>
  <ScaleCrop>false</ScaleCrop>
  <LinksUpToDate>false</LinksUpToDate>
  <CharactersWithSpaces>2549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Administrator</cp:lastModifiedBy>
  <dcterms:modified xsi:type="dcterms:W3CDTF">2025-08-12T05:07:31Z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7A18FBAA79F641C39253C68935632916_13</vt:lpwstr>
  </property>
  <property fmtid="{D5CDD505-2E9C-101B-9397-08002B2CF9AE}" pid="4" name="KSOTemplateDocerSaveRecord">
    <vt:lpwstr>eyJoZGlkIjoiMTcwMGY5N2M4YzI3ODdkZTMzOGFhZTcwMTk4MTdlMjAiLCJ1c2VySWQiOiI0OTQ1NzM3OTEifQ==</vt:lpwstr>
  </property>
</Properties>
</file>